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第71期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2024年10月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每周资讯|欧盟确定对中国电动汽车征收最终反补贴税；1—9月份全国规模以上工业企业利润下降3.5%；强达电路登陆创业板..</w:t>
      </w:r>
    </w:p>
    <w:p w14:paraId="35B7DEBB">
      <w:pPr>
        <w:pStyle w:val="3"/>
        <w:numPr>
          <w:ilvl w:val="0"/>
          <w:numId w:val="1"/>
        </w:numPr>
        <w:bidi w:val="0"/>
        <w:rPr>
          <w:rFonts w:hint="eastAsia"/>
          <w:lang w:val="en-US" w:eastAsia="zh-CN"/>
        </w:rPr>
      </w:pPr>
      <w:r>
        <w:rPr>
          <w:rFonts w:hint="eastAsia"/>
          <w:lang w:val="en-US" w:eastAsia="zh-CN"/>
        </w:rPr>
        <w:t>行业</w:t>
      </w:r>
    </w:p>
    <w:p w14:paraId="1E97F495">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国家发展改革委等六部门：大力实施可再生能源替代行动</w:t>
      </w:r>
    </w:p>
    <w:p w14:paraId="03FD9BB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30日，国家发展改革委等部门发布关于大力实施可再生能源替代行动的指导意见。指导意见提出，大力实施可再生能源替代，以习近平新时代中国特色社会主义思想为指导，贯彻“四个革命、一个合作”能源安全新战略，坚持统筹谋划、安全替代，正确处理传统能源和新能源“破”与“立”的关系，源网荷储一体推进，全面提升可再生能源安全可靠供应能力；供需统筹、有序替代，统筹可再生能源供给与重点领域绿色能源消费，加快推进增量替代，稳步扩大存量替代，稳妥推动可再生能源有序替代传统化石能源；协同融合、多元替代，协同推进可再生能源与工业、交通、建筑、农业农村等领域融合替代，经济高效推进发电、供热、制气、制氢多元发展和替代；科技引领、创新替代，大力推动新技术攻关试点，创新体制机制，加快培育可再生能源替代的新场景、新模式、新业态。（界面新闻）</w:t>
      </w:r>
    </w:p>
    <w:p w14:paraId="2A8490C3">
      <w:pPr>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商务部：坚决反对美对华投资限制最终规则</w:t>
      </w:r>
    </w:p>
    <w:p w14:paraId="12C548C2">
      <w:pPr>
        <w:ind w:firstLine="640" w:firstLineChars="200"/>
        <w:rPr>
          <w:rFonts w:hint="eastAsia"/>
          <w:lang w:val="en-US" w:eastAsia="zh-CN"/>
        </w:rPr>
      </w:pPr>
      <w:r>
        <w:rPr>
          <w:rFonts w:hint="eastAsia"/>
          <w:lang w:val="en-US" w:eastAsia="zh-CN"/>
        </w:rPr>
        <w:t>10月30日，针对美财政部发布对华投资限制最终规则，中国商务部新闻发言人30日表示坚决反对，称已向美方提出严正交涉，并保留采取措施的权利。发言人称，美方泛化国家安全概念，出台对华歧视性投资限制措施，是典型的非市场做法。美方限制措施涉及芯片、人工智能、量子计算等领域，与这些领域相关的绝大多数行业并不涉及国家安全，但都将受到美方禁令限制。这将干扰中美两国企业正常经贸合作，损害中美两国企业利益。发言人称，中方注意到，很多美国商协会和企业提出，美对华投资限制将导致美国企业将中国市场让给其他</w:t>
      </w:r>
      <w:bookmarkStart w:id="0" w:name="_GoBack"/>
      <w:bookmarkEnd w:id="0"/>
      <w:r>
        <w:rPr>
          <w:rFonts w:hint="eastAsia"/>
          <w:lang w:val="en-US" w:eastAsia="zh-CN"/>
        </w:rPr>
        <w:t>国家竞争对手，严重损害美国自身利益。（环球时报）</w:t>
      </w:r>
    </w:p>
    <w:p w14:paraId="4C5F6ADC">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欧盟决定对中国电动汽车征收为期五年的最终反补贴税，商务部：中方不认同、不接受</w:t>
      </w:r>
    </w:p>
    <w:p w14:paraId="67011A35">
      <w:pPr>
        <w:ind w:firstLine="640" w:firstLineChars="200"/>
        <w:rPr>
          <w:rFonts w:hint="eastAsia"/>
          <w:lang w:val="en-US" w:eastAsia="zh-CN"/>
        </w:rPr>
      </w:pPr>
      <w:r>
        <w:rPr>
          <w:rFonts w:hint="eastAsia"/>
          <w:highlight w:val="none"/>
          <w:lang w:val="en-US" w:eastAsia="zh-CN"/>
        </w:rPr>
        <w:t>10月29日，欧盟委员会发布消息称结束了反补贴调查，决定对从中国进口的电动汽车（BEV）征收为期五年的最终反补贴税。相关决定预计将于当地时间10月30日在《欧盟官方公报》上公布，反补贴税将于10月31日起正式实施。被抽样的中国出口生产商将被征收以下反补贴税，具体为比亚迪17.0%，吉利18.8%，上汽集团35.3%。其他合作公司将被征收20.7%的关税。在提出个别审查请求后，特斯拉将被征收7.8%的关税。所有其他不合作的公司将被征收35.3%的关税。2024年7月4日对从中国进口的电动汽车征收的临时关税将不予征收。（央视新闻）</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10月1-27日，乘用车新能源车市场零售94.6万辆，同比去年10月同期增长49%</w:t>
      </w:r>
    </w:p>
    <w:p w14:paraId="160C6B50">
      <w:pPr>
        <w:bidi w:val="0"/>
        <w:ind w:firstLine="640" w:firstLineChars="200"/>
        <w:rPr>
          <w:rFonts w:hint="eastAsia"/>
          <w:lang w:val="en-US" w:eastAsia="zh-CN"/>
        </w:rPr>
      </w:pPr>
      <w:r>
        <w:rPr>
          <w:rFonts w:hint="eastAsia"/>
          <w:lang w:val="en-US" w:eastAsia="zh-CN"/>
        </w:rPr>
        <w:t>智通财经获悉，乘联分会数据显示，10月1-27日，乘用车市场零售181.2万辆，同比去年10月同期增长9%，较上月同期增长2%，今年以来累计零售1,738.6万辆，同比增长3%;10月1-27日,全国乘用车厂商批发197.8万辆，同比去年10月同期增长4%，较上月同期下降5%，今年以来累计批发2,042.3万辆，同比增长4%。10月1-27日，乘用车新能源车市场零售94.6万辆，同比去年10月同期增长49%，较上月同期下降1%，今年以来累计零售807.8万辆，同比增长39%;10月1-27日，全国乘用车厂商新能源批发104.7万辆，同比去年10月同期增长45%，较上月同期增长2%，今年以来累计批发895.7万辆，同比增长35%。（智通财经）</w:t>
      </w:r>
    </w:p>
    <w:p w14:paraId="15BA3E36">
      <w:pPr>
        <w:rPr>
          <w:rFonts w:hint="eastAsia"/>
          <w:lang w:val="en-US" w:eastAsia="zh-CN"/>
        </w:rPr>
      </w:pPr>
    </w:p>
    <w:p w14:paraId="445A7BF7">
      <w:pPr>
        <w:pStyle w:val="3"/>
        <w:bidi w:val="0"/>
        <w:jc w:val="center"/>
        <w:rPr>
          <w:rFonts w:hint="eastAsia"/>
          <w:lang w:val="en-US" w:eastAsia="zh-CN"/>
        </w:rPr>
      </w:pPr>
      <w:r>
        <w:rPr>
          <w:rFonts w:hint="eastAsia"/>
          <w:lang w:val="en-US" w:eastAsia="zh-CN"/>
        </w:rPr>
        <w:t>预计2035年，清洁能源市场价值可能达到2.1万亿美元</w:t>
      </w:r>
    </w:p>
    <w:p w14:paraId="657DE22C">
      <w:pPr>
        <w:bidi w:val="0"/>
        <w:ind w:firstLine="640" w:firstLineChars="200"/>
        <w:rPr>
          <w:rFonts w:hint="eastAsia"/>
          <w:lang w:val="en-US" w:eastAsia="zh-CN"/>
        </w:rPr>
      </w:pPr>
      <w:r>
        <w:rPr>
          <w:rFonts w:hint="eastAsia"/>
          <w:lang w:val="en-US" w:eastAsia="zh-CN"/>
        </w:rPr>
        <w:t>近日，国际能源署（IEA）发布了一年一度的《世界能源展望》报告。作为全球最权威的能源分析和预测来源，国际能源署每年发布的旗舰报告《世界能源展望》深入探讨了能源需求与供应的巨大趋势，并剖析它们对能源安全、排放和经济发展的深远影响。报告显示，2023年到2030年，在现有的政策和市场条件下，清洁能源的增长将超出全球电力需求增长20%。因此，到2030年，发电厂的煤炭使用量将减少10%，石油消耗量将减少50%。（每日经济新闻）</w:t>
      </w:r>
    </w:p>
    <w:p w14:paraId="3A32A154">
      <w:pPr>
        <w:pStyle w:val="3"/>
        <w:bidi w:val="0"/>
        <w:jc w:val="center"/>
        <w:rPr>
          <w:rFonts w:hint="eastAsia"/>
          <w:lang w:val="en-US" w:eastAsia="zh-CN"/>
        </w:rPr>
      </w:pPr>
      <w:r>
        <w:rPr>
          <w:rFonts w:hint="eastAsia"/>
          <w:lang w:val="en-US" w:eastAsia="zh-CN"/>
        </w:rPr>
        <w:t>统计局：1—9月份全国规模以上工业企业利润下降3.5%</w:t>
      </w:r>
    </w:p>
    <w:p w14:paraId="5F0BA5F8">
      <w:pPr>
        <w:bidi w:val="0"/>
        <w:ind w:firstLine="640" w:firstLineChars="200"/>
        <w:rPr>
          <w:rFonts w:hint="eastAsia"/>
          <w:lang w:val="en-US" w:eastAsia="zh-CN"/>
        </w:rPr>
      </w:pPr>
      <w:r>
        <w:rPr>
          <w:rFonts w:hint="eastAsia"/>
          <w:lang w:val="en-US" w:eastAsia="zh-CN"/>
        </w:rPr>
        <w:t>10月27日，据国家统计局，1—9月份，全国规模以上工业企业实现利润总额52281.6亿元，同比下降3.5%。受去年同期高基数等因素影响，9月份，规模以上工业企业利润同比下降27.1%。（按可比口径计算）。1—9月份，主要行业利润情况如下：计算机、通信和其他电子设备制造业增长7.1%，石油和天然气开采业增长0.9%，通用设备制造业增长0.2%，汽车制造业下降1.2%，化学原料和化学制品制造业下降4.0%，专用设备制造业下降5.5%，电气机械和器材制造业下降7.2%（财联社）</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7FA153E5">
      <w:pPr>
        <w:pStyle w:val="3"/>
        <w:bidi w:val="0"/>
        <w:jc w:val="center"/>
        <w:rPr>
          <w:rFonts w:hint="eastAsia"/>
          <w:lang w:val="en-US" w:eastAsia="zh-CN"/>
        </w:rPr>
      </w:pPr>
      <w:r>
        <w:rPr>
          <w:rFonts w:hint="eastAsia"/>
          <w:lang w:val="en-US" w:eastAsia="zh-CN"/>
        </w:rPr>
        <w:t>比亚迪第三季度营收首次超过特斯拉</w:t>
      </w:r>
    </w:p>
    <w:p w14:paraId="07820241">
      <w:pPr>
        <w:ind w:firstLine="640" w:firstLineChars="200"/>
        <w:rPr>
          <w:rFonts w:hint="eastAsia"/>
          <w:lang w:val="en-US" w:eastAsia="zh-CN"/>
        </w:rPr>
      </w:pPr>
      <w:r>
        <w:rPr>
          <w:rFonts w:hint="eastAsia"/>
          <w:lang w:val="en-US" w:eastAsia="zh-CN"/>
        </w:rPr>
        <w:t>10月30日，比亚迪股份有限公司（002594.SZ，以下简称“比亚迪”）发布2024年三季度报，报告期内，比亚迪实现营业收入2011.25亿元，同比增长24.04%。这也是比亚迪作为电动汽车公司季度营收首次超过特斯拉，特斯拉今年三季度营收为251.8亿美元（约合人民币1793.5亿元）。其他财务数据方面，比亚迪第三季度归母净利润116.07亿元，同比增长11.47%，而上年同期归母净利润同比增长82.16%。相较而言，比亚迪2024年第三季度归母净利润增速有所放缓。此外，比亚迪2024年前三季度累计营收5022.51亿元，同比增长18.94%；累计归母净利润252.38亿元，同比增长18.12%；经营活动产生的现金流量净额约为562.73亿元，同比下降42.50%。（第一财经）</w:t>
      </w:r>
    </w:p>
    <w:p w14:paraId="2148982A">
      <w:pPr>
        <w:ind w:firstLine="640" w:firstLineChars="200"/>
        <w:rPr>
          <w:rFonts w:hint="eastAsia"/>
          <w:lang w:val="en-US" w:eastAsia="zh-CN"/>
        </w:rPr>
      </w:pPr>
    </w:p>
    <w:p w14:paraId="44D6FA0F">
      <w:pPr>
        <w:pStyle w:val="3"/>
        <w:bidi w:val="0"/>
        <w:jc w:val="center"/>
        <w:rPr>
          <w:rFonts w:hint="eastAsia"/>
          <w:lang w:val="en-US" w:eastAsia="zh-CN"/>
        </w:rPr>
      </w:pPr>
      <w:r>
        <w:rPr>
          <w:rFonts w:hint="eastAsia"/>
          <w:lang w:val="en-US" w:eastAsia="zh-CN"/>
        </w:rPr>
        <w:t>OpenAI据称已计划联手博通和台积电共同打造自研芯片</w:t>
      </w:r>
    </w:p>
    <w:p w14:paraId="7D816BF0">
      <w:pPr>
        <w:ind w:firstLine="640" w:firstLineChars="200"/>
        <w:rPr>
          <w:rFonts w:hint="eastAsia"/>
          <w:lang w:val="en-US" w:eastAsia="zh-CN"/>
        </w:rPr>
      </w:pPr>
      <w:r>
        <w:rPr>
          <w:rFonts w:hint="eastAsia"/>
          <w:lang w:val="en-US" w:eastAsia="zh-CN"/>
        </w:rPr>
        <w:t>10月30日消息，消息人士称，OpenAI正在与博通和台积电合作，制造其首款内部芯片，用于支持其人工智能系统，同时在英伟达芯片的基础上增加AMD芯片，以满足其激增的基础设施需求。OpenAI已经研究了一系列方案，以实现芯片供应多样化并降低成本。OpenAI考虑过在公司内部制造，也考虑过为一项昂贵的计划筹集资金，即建立一个被称为“代工厂”的芯片制造工厂网络。由于建立网络需要成本和时间，公司暂时放弃了雄心勃勃的代工厂计划，转而计划专注于内部芯片设计工作。（路透）</w:t>
      </w:r>
    </w:p>
    <w:p w14:paraId="55F4A2AD">
      <w:pPr>
        <w:pStyle w:val="3"/>
        <w:bidi w:val="0"/>
        <w:jc w:val="center"/>
        <w:rPr>
          <w:rFonts w:hint="eastAsia"/>
          <w:lang w:val="en-US" w:eastAsia="zh-CN"/>
        </w:rPr>
      </w:pPr>
      <w:r>
        <w:rPr>
          <w:rFonts w:hint="eastAsia"/>
          <w:lang w:val="en-US" w:eastAsia="zh-CN"/>
        </w:rPr>
        <w:t>消息称三星将于2025年初从ASML引进High-NA EUV光刻机</w:t>
      </w:r>
    </w:p>
    <w:p w14:paraId="7F36DD2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10月30日，据报道援引消息人士称，三星电子将从ASML引进首台High-NA EUV光刻机EXE:5000，预计2025年初到货。半导体设备安装通常需要较长测试时间，该光刻机预计最快2025年中旬开始运行。High-NA EUV为2纳米以下先进制程所需设备，韩国业界预期，三星也将正式启动1纳米芯片的商用化进程。（ET News）</w:t>
      </w:r>
    </w:p>
    <w:p w14:paraId="70F416D8">
      <w:pPr>
        <w:ind w:firstLine="640" w:firstLineChars="200"/>
        <w:rPr>
          <w:rFonts w:hint="eastAsia"/>
          <w:lang w:val="en-US" w:eastAsia="zh-CN"/>
        </w:rPr>
      </w:pPr>
    </w:p>
    <w:p w14:paraId="2AC565D5">
      <w:pPr>
        <w:pStyle w:val="3"/>
        <w:bidi w:val="0"/>
        <w:jc w:val="center"/>
        <w:rPr>
          <w:rFonts w:hint="eastAsia"/>
          <w:lang w:val="en-US" w:eastAsia="zh-CN"/>
        </w:rPr>
      </w:pPr>
      <w:r>
        <w:rPr>
          <w:rFonts w:hint="eastAsia"/>
          <w:lang w:val="en-US" w:eastAsia="zh-CN"/>
        </w:rPr>
        <w:t>英特尔宣布增资3亿美元扩容成都封装测试基地</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10月28日，英特尔宣布扩容英特尔成都封装测试基地，对英特尔产品（成都）有限公司增加3亿美元的注册资本。在现有的客户端产品封装测试的基础上，增加为服务器芯片提供封装测试服务，并设立一个客户解决方案中心。相关规划和建设工作已经启动。（界面新闻）</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台积电明年5纳米以下报价据悉再涨</w:t>
      </w:r>
    </w:p>
    <w:p w14:paraId="3F2E627E">
      <w:pPr>
        <w:ind w:firstLine="640" w:firstLineChars="200"/>
        <w:rPr>
          <w:rFonts w:hint="default"/>
          <w:lang w:val="en-US" w:eastAsia="zh-CN"/>
        </w:rPr>
      </w:pPr>
      <w:r>
        <w:rPr>
          <w:rFonts w:hint="default"/>
          <w:lang w:val="en-US" w:eastAsia="zh-CN"/>
        </w:rPr>
        <w:t>10月2</w:t>
      </w:r>
      <w:r>
        <w:rPr>
          <w:rFonts w:hint="eastAsia"/>
          <w:lang w:val="en-US" w:eastAsia="zh-CN"/>
        </w:rPr>
        <w:t>5</w:t>
      </w:r>
      <w:r>
        <w:rPr>
          <w:rFonts w:hint="default"/>
          <w:lang w:val="en-US" w:eastAsia="zh-CN"/>
        </w:rPr>
        <w:t>日</w:t>
      </w:r>
      <w:r>
        <w:rPr>
          <w:rFonts w:hint="eastAsia"/>
          <w:lang w:val="en-US" w:eastAsia="zh-CN"/>
        </w:rPr>
        <w:t>，</w:t>
      </w:r>
      <w:r>
        <w:rPr>
          <w:rFonts w:hint="default"/>
          <w:lang w:val="en-US" w:eastAsia="zh-CN"/>
        </w:rPr>
        <w:t>据业界人士称，台积电为降低海外厂高营运成本及2纳米部署成本所带来的毛利率冲击，近期已向多家客户释出2025年代工报价，根据客户、产品与产能规模不同，5纳米、4纳米、3纳米代工报价制程涨幅高于先前所预估的约4%，2纳米代工报价更是飙上3万美元。而将在2025年第4季正式放量的2纳米宝山厂，月产能达3万片，代工报价也已出炉。（台湾电子时报）</w:t>
      </w:r>
    </w:p>
    <w:p w14:paraId="21041389">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崇达技术：整体产能利用率87%，珠海崇达二期新厂房已封顶，2024年市场需求预计将复苏</w:t>
      </w:r>
    </w:p>
    <w:p w14:paraId="2C53BB3C">
      <w:pPr>
        <w:ind w:firstLine="640" w:firstLineChars="200"/>
        <w:rPr>
          <w:rFonts w:hint="default"/>
          <w:lang w:val="en-US" w:eastAsia="zh-CN"/>
        </w:rPr>
      </w:pPr>
      <w:r>
        <w:rPr>
          <w:rFonts w:hint="default"/>
          <w:lang w:val="en-US" w:eastAsia="zh-CN"/>
        </w:rPr>
        <w:t>10月30日消息，崇达技术披露投资者关系活动记录表显示，公司目前整体产能利用率为87%左右，其中江门 HDI 工厂处于满产状态，公司将根据市场需求实时调整价格策略，以继续改善公司盈利能力。公司于 2024 年 10 月 28 日召开第五届董事会第十九次会议，审议通过了《关于调整不向下修正“崇达转 2”转股价格期限的议案》，同意调整不向下修正“崇达转 2”转股价格的期限，若再次触发“崇达转 2”转股价格向下修正条款，公司会审慎考虑是否下修转股价事宜。珠海崇达二期（含珠海二厂和三厂）为公司 2022 年非公开发行股票的募投项目，两座新厂房已封顶。根据 Prismark 报告，2024 年市场需求预计将得到一定程度的复苏，2024 年全球 PCB 市场产值为 730 亿美元。（</w:t>
      </w:r>
      <w:r>
        <w:rPr>
          <w:rFonts w:hint="eastAsia"/>
          <w:lang w:val="en-US" w:eastAsia="zh-CN"/>
        </w:rPr>
        <w:t>金融界</w:t>
      </w:r>
      <w:r>
        <w:rPr>
          <w:rFonts w:hint="default"/>
          <w:lang w:val="en-US" w:eastAsia="zh-CN"/>
        </w:rPr>
        <w:t>）</w:t>
      </w:r>
    </w:p>
    <w:p w14:paraId="31315F46">
      <w:pPr>
        <w:ind w:firstLine="640" w:firstLineChars="200"/>
        <w:rPr>
          <w:rFonts w:hint="default"/>
          <w:lang w:val="en-US" w:eastAsia="zh-CN"/>
        </w:rPr>
      </w:pPr>
    </w:p>
    <w:p w14:paraId="5745EA71">
      <w:pPr>
        <w:jc w:val="center"/>
        <w:rPr>
          <w:rFonts w:hint="eastAsia" w:ascii="黑体" w:hAnsi="黑体" w:eastAsia="黑体" w:cs="黑体"/>
          <w:b/>
          <w:bCs/>
          <w:lang w:val="en-US" w:eastAsia="zh-CN"/>
        </w:rPr>
      </w:pPr>
      <w:r>
        <w:rPr>
          <w:rFonts w:hint="default" w:ascii="黑体" w:hAnsi="黑体" w:eastAsia="黑体" w:cs="黑体"/>
          <w:b/>
          <w:bCs/>
          <w:lang w:val="en-US" w:eastAsia="zh-CN"/>
        </w:rPr>
        <w:t>PCB企业强达电路登陆创业板</w:t>
      </w:r>
      <w:r>
        <w:rPr>
          <w:rFonts w:hint="eastAsia" w:ascii="黑体" w:hAnsi="黑体" w:eastAsia="黑体" w:cs="黑体"/>
          <w:b/>
          <w:bCs/>
          <w:lang w:val="en-US" w:eastAsia="zh-CN"/>
        </w:rPr>
        <w:t>，</w:t>
      </w:r>
      <w:r>
        <w:rPr>
          <w:rFonts w:hint="default" w:ascii="黑体" w:hAnsi="黑体" w:eastAsia="黑体" w:cs="黑体"/>
          <w:b/>
          <w:bCs/>
          <w:lang w:val="en-US" w:eastAsia="zh-CN"/>
        </w:rPr>
        <w:t>服务活跃客户近3000</w:t>
      </w:r>
      <w:r>
        <w:rPr>
          <w:rFonts w:hint="eastAsia" w:ascii="黑体" w:hAnsi="黑体" w:eastAsia="黑体" w:cs="黑体"/>
          <w:b/>
          <w:bCs/>
          <w:lang w:val="en-US" w:eastAsia="zh-CN"/>
        </w:rPr>
        <w:t>家</w:t>
      </w:r>
    </w:p>
    <w:p w14:paraId="2334C620">
      <w:pPr>
        <w:ind w:firstLine="640" w:firstLineChars="200"/>
        <w:rPr>
          <w:rFonts w:hint="default"/>
          <w:lang w:val="en-US" w:eastAsia="zh-CN"/>
        </w:rPr>
      </w:pPr>
      <w:r>
        <w:rPr>
          <w:rFonts w:hint="default"/>
          <w:lang w:val="en-US" w:eastAsia="zh-CN"/>
        </w:rPr>
        <w:t>10月31日，中高端、定制化PCB企业强达电路今日登陆创业板上市，股票代码301628，股票发行价格28.18元。强达电路深耕定制化程度高的PCB样板/小批量板领域，PCB产品层数、线宽/线距、孔径、厚径比及铜厚等主要制程能力均优于同行业平均水平，最大铜厚等个别指标处于行业较为领先的水平。公司服务的活跃客户近3000家，主要客户有上市公司近百家公司，与客户关系长期稳定。2021-2023 年度，公司连续三年被中国电子电路行业协会评为中国电子电路行业百强企业。财务方面，2024H1强达电路实现营业收入3.89亿元，实现归母净利润0.56亿元。公司预测2024年归母净利润为9927.57万元，同比增长9.02%。</w:t>
      </w:r>
      <w:r>
        <w:rPr>
          <w:rFonts w:hint="eastAsia"/>
          <w:lang w:val="en-US" w:eastAsia="zh-CN"/>
        </w:rPr>
        <w:t>（财联社）</w:t>
      </w:r>
      <w:r>
        <w:rPr>
          <w:rFonts w:hint="default"/>
          <w:lang w:val="en-US" w:eastAsia="zh-CN"/>
        </w:rPr>
        <w:tab/>
      </w:r>
    </w:p>
    <w:p w14:paraId="634CD8DE">
      <w:pPr>
        <w:bidi w:val="0"/>
        <w:rPr>
          <w:rFonts w:hint="default"/>
          <w:lang w:val="en-US" w:eastAsia="zh-CN"/>
        </w:rPr>
      </w:pPr>
      <w:r>
        <w:rPr>
          <w:rFonts w:hint="default"/>
          <w:lang w:val="en-US" w:eastAsia="zh-CN"/>
        </w:rPr>
        <w:drawing>
          <wp:inline distT="0" distB="0" distL="114300" distR="114300">
            <wp:extent cx="5235575" cy="3006090"/>
            <wp:effectExtent l="0" t="0" r="9525" b="3810"/>
            <wp:docPr id="2" name="图片 2" descr="26a8eb77d345771396ae6fa31c92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8eb77d345771396ae6fa31c9221b"/>
                    <pic:cNvPicPr>
                      <a:picLocks noChangeAspect="1"/>
                    </pic:cNvPicPr>
                  </pic:nvPicPr>
                  <pic:blipFill>
                    <a:blip r:embed="rId7"/>
                    <a:stretch>
                      <a:fillRect/>
                    </a:stretch>
                  </pic:blipFill>
                  <pic:spPr>
                    <a:xfrm>
                      <a:off x="0" y="0"/>
                      <a:ext cx="5235575" cy="300609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19D3A55">
      <w:pPr>
        <w:widowControl w:val="0"/>
        <w:bidi w:val="0"/>
        <w:spacing w:line="240" w:lineRule="auto"/>
        <w:ind w:left="0" w:leftChars="0" w:firstLine="0" w:firstLineChars="0"/>
        <w:jc w:val="right"/>
        <w:rPr>
          <w:rFonts w:hint="default" w:eastAsia="仿宋"/>
          <w:kern w:val="2"/>
          <w:sz w:val="32"/>
          <w:highlight w:val="none"/>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p w14:paraId="583523D6">
      <w:pPr>
        <w:bidi w:val="0"/>
        <w:ind w:firstLine="640" w:firstLineChars="200"/>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jQ3NDIwZDEwN2RkZjI5ZmVhOGI2NjVlYTBkMTcifQ=="/>
  </w:docVars>
  <w:rsids>
    <w:rsidRoot w:val="00172A27"/>
    <w:rsid w:val="008F6183"/>
    <w:rsid w:val="01785675"/>
    <w:rsid w:val="01DC7DD6"/>
    <w:rsid w:val="02376B7A"/>
    <w:rsid w:val="047732AA"/>
    <w:rsid w:val="049727D9"/>
    <w:rsid w:val="04CD32E2"/>
    <w:rsid w:val="057F11D8"/>
    <w:rsid w:val="06CC35FE"/>
    <w:rsid w:val="07AD5543"/>
    <w:rsid w:val="09834103"/>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B72369B"/>
    <w:rsid w:val="1B842559"/>
    <w:rsid w:val="1C2516BD"/>
    <w:rsid w:val="1E5209CD"/>
    <w:rsid w:val="1E645BF0"/>
    <w:rsid w:val="1EB9047B"/>
    <w:rsid w:val="1F3F651D"/>
    <w:rsid w:val="1FFE35CC"/>
    <w:rsid w:val="200C07F7"/>
    <w:rsid w:val="20BD71EB"/>
    <w:rsid w:val="20BE2B76"/>
    <w:rsid w:val="20CC0EE2"/>
    <w:rsid w:val="21C04BDE"/>
    <w:rsid w:val="21CB236C"/>
    <w:rsid w:val="2489657E"/>
    <w:rsid w:val="24B27142"/>
    <w:rsid w:val="251A5E6D"/>
    <w:rsid w:val="26F9200B"/>
    <w:rsid w:val="278F5BF6"/>
    <w:rsid w:val="27B4797D"/>
    <w:rsid w:val="2859111F"/>
    <w:rsid w:val="28E16914"/>
    <w:rsid w:val="29BE15E9"/>
    <w:rsid w:val="2A5C5AFE"/>
    <w:rsid w:val="2A720D08"/>
    <w:rsid w:val="2B312C8E"/>
    <w:rsid w:val="2C622E1D"/>
    <w:rsid w:val="2C7B02A7"/>
    <w:rsid w:val="2C8E7905"/>
    <w:rsid w:val="2CD77367"/>
    <w:rsid w:val="2EF7039C"/>
    <w:rsid w:val="2F2D6FB5"/>
    <w:rsid w:val="30EA07CC"/>
    <w:rsid w:val="313E5C07"/>
    <w:rsid w:val="31903FB7"/>
    <w:rsid w:val="31C0661C"/>
    <w:rsid w:val="325524D0"/>
    <w:rsid w:val="325A0517"/>
    <w:rsid w:val="32EB188E"/>
    <w:rsid w:val="33A05842"/>
    <w:rsid w:val="33B80305"/>
    <w:rsid w:val="33E62FE3"/>
    <w:rsid w:val="3442486C"/>
    <w:rsid w:val="35284C04"/>
    <w:rsid w:val="35523A2F"/>
    <w:rsid w:val="35734034"/>
    <w:rsid w:val="36FA437E"/>
    <w:rsid w:val="3783091D"/>
    <w:rsid w:val="3885411B"/>
    <w:rsid w:val="38F44DFD"/>
    <w:rsid w:val="39273424"/>
    <w:rsid w:val="3AC73557"/>
    <w:rsid w:val="3AE8373F"/>
    <w:rsid w:val="3AF712CC"/>
    <w:rsid w:val="3B170BE2"/>
    <w:rsid w:val="3B66696F"/>
    <w:rsid w:val="3B835876"/>
    <w:rsid w:val="3BCD47A7"/>
    <w:rsid w:val="3BFA4E2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393156"/>
    <w:rsid w:val="51267CC7"/>
    <w:rsid w:val="513545B7"/>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9124C8"/>
    <w:rsid w:val="5B61236E"/>
    <w:rsid w:val="5C0963CE"/>
    <w:rsid w:val="5C261656"/>
    <w:rsid w:val="5C85148E"/>
    <w:rsid w:val="5CEB6F53"/>
    <w:rsid w:val="5D221AE7"/>
    <w:rsid w:val="5DCB39AA"/>
    <w:rsid w:val="5DCC6423"/>
    <w:rsid w:val="5E510478"/>
    <w:rsid w:val="5E543AC4"/>
    <w:rsid w:val="5EEB03CB"/>
    <w:rsid w:val="5F0977F9"/>
    <w:rsid w:val="61E138C1"/>
    <w:rsid w:val="63D3192F"/>
    <w:rsid w:val="642A6415"/>
    <w:rsid w:val="64A84C97"/>
    <w:rsid w:val="65270184"/>
    <w:rsid w:val="65493C57"/>
    <w:rsid w:val="65736F26"/>
    <w:rsid w:val="65DC06B2"/>
    <w:rsid w:val="66331F5B"/>
    <w:rsid w:val="67A506C3"/>
    <w:rsid w:val="67D27072"/>
    <w:rsid w:val="6932738D"/>
    <w:rsid w:val="695D4175"/>
    <w:rsid w:val="69FA1037"/>
    <w:rsid w:val="6A334ED5"/>
    <w:rsid w:val="6A771286"/>
    <w:rsid w:val="6A94006A"/>
    <w:rsid w:val="6AA31459"/>
    <w:rsid w:val="6ACD604F"/>
    <w:rsid w:val="6B184A21"/>
    <w:rsid w:val="6C8F0A29"/>
    <w:rsid w:val="6CD17894"/>
    <w:rsid w:val="6D0914F3"/>
    <w:rsid w:val="6D565020"/>
    <w:rsid w:val="6D635AD2"/>
    <w:rsid w:val="6E71421E"/>
    <w:rsid w:val="6F401113"/>
    <w:rsid w:val="703674CE"/>
    <w:rsid w:val="70B623BC"/>
    <w:rsid w:val="712F0AD2"/>
    <w:rsid w:val="71B8286E"/>
    <w:rsid w:val="73946B2F"/>
    <w:rsid w:val="74576EE0"/>
    <w:rsid w:val="74BC1E14"/>
    <w:rsid w:val="77025C02"/>
    <w:rsid w:val="789F5C2E"/>
    <w:rsid w:val="78BE62B2"/>
    <w:rsid w:val="7AD65B35"/>
    <w:rsid w:val="7B8A47A6"/>
    <w:rsid w:val="7BC95581"/>
    <w:rsid w:val="7BF15DB3"/>
    <w:rsid w:val="7C981F04"/>
    <w:rsid w:val="7DEA794F"/>
    <w:rsid w:val="7EC21B12"/>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3369</Words>
  <Characters>4008</Characters>
  <Lines>1</Lines>
  <Paragraphs>1</Paragraphs>
  <TotalTime>964</TotalTime>
  <ScaleCrop>false</ScaleCrop>
  <LinksUpToDate>false</LinksUpToDate>
  <CharactersWithSpaces>4099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2024-10-31T04:53:31Z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59C3FF4E51F94D2B99B0843F41ACC12A_13</vt:lpwstr>
  </property>
</Properties>
</file>