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第77期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实施适度宽松的货币政策</w:t>
      </w:r>
      <w:r>
        <w:rPr>
          <w:rFonts w:hint="eastAsia"/>
          <w:highlight w:val="none"/>
          <w:lang w:val="en-US" w:eastAsia="zh-CN"/>
        </w:rPr>
        <w:t>；33家光伏企业闭门商讨防“内卷”；生益电子拟斥资14亿元投建新项目..</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中共中央政治局召开会议，分析研究2025年经济工作</w:t>
      </w:r>
    </w:p>
    <w:p w14:paraId="2A8490C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12月10日，中共中央政治局召开会议，分析研究2025年经济工作。会议认为，今年经济运行总体平稳、稳中有进，全年经济社会发展主要目标任务将顺利完成。会议强调，做好明年经济工作，要实施更加积极有为的宏观政策，稳住楼市股市，防范化解重点领域风险和外部冲击。明年要实施更加积极的财政政策和适度宽松的货币政策，加强超常规逆周期调节。要大力提振消费、提高投资效益，全方位扩大国内需求。要以科技创新引领新质生产力发展，建设现代化产业体系。要扩大高水平对外开放，稳外贸、稳外资。要加大保障和改善民生力度，增强人民群众获得感幸福感安全感。（人民政协网）</w:t>
      </w:r>
    </w:p>
    <w:p w14:paraId="3716C81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政治局会议定调明年经济工作：加强超常规逆周期调节</w:t>
      </w:r>
    </w:p>
    <w:p w14:paraId="4C5F6ADC">
      <w:pPr>
        <w:ind w:firstLine="640" w:firstLineChars="200"/>
        <w:rPr>
          <w:rFonts w:hint="eastAsia"/>
          <w:lang w:val="en-US" w:eastAsia="zh-CN"/>
        </w:rPr>
      </w:pPr>
      <w:r>
        <w:rPr>
          <w:rFonts w:hint="eastAsia"/>
          <w:lang w:val="en-US" w:eastAsia="zh-CN"/>
        </w:rPr>
        <w:t>12月9日，2025年经济工作的大方向已明确。据新华社消息，中共中央政治局12月9日召开会议，分析研究2025年经济工作。市场分析指出，中共中央政治局会议提出“加强超常规逆周期调节”，这在历史上是首次提出，可以看出政策当局稳增长的决心，政策从被动应对转换为主动出击。“实施适度宽松的货币政策”是14年以来首度重提，预计明年央行将采取更大力度的降息降准；“实施更加积极的财政政策”表态积极、主动作为，财政加码的方向在传统投资和民生之外，仍将进一步加码消费和房地产领域。(新华社)</w:t>
      </w:r>
    </w:p>
    <w:p w14:paraId="7EB6EFB7">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力挺专精特新，更多支持政策酝酿出台</w:t>
      </w:r>
    </w:p>
    <w:p w14:paraId="3555DF1A">
      <w:pPr>
        <w:ind w:firstLine="640" w:firstLineChars="200"/>
        <w:rPr>
          <w:rFonts w:hint="eastAsia"/>
          <w:highlight w:val="none"/>
          <w:lang w:val="en-US" w:eastAsia="zh-CN"/>
        </w:rPr>
      </w:pPr>
      <w:r>
        <w:rPr>
          <w:rFonts w:hint="eastAsia"/>
          <w:highlight w:val="none"/>
          <w:lang w:val="en-US" w:eastAsia="zh-CN"/>
        </w:rPr>
        <w:t>12月11日，据《力挺专精特新　更多支持政策酝酿出台》。文章称，工业和信息化部数据显示，截至目前，我国已累计培育专精特新“小巨人”企业1.46万家，专精特新中小企业超14万家。“小巨人”企业中超八成分布在集成电路、航空航天等战略性新兴产业链上，人工智能、低空经济等未来产业相关领域企业数量近5000家。记者获悉，相关部门将研究制定构建促进专精特新中小企业发展壮大机制的指导意见，出台优质企业培育指导意见，持续加大对专精特新中小企业的培育支持力度，推动专精特新群体“扩面、提质、强链”。（新华社）</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乘联分会：11月全国乘用车市场零售242.3万辆，同比增长16.5%</w:t>
      </w:r>
    </w:p>
    <w:p w14:paraId="51C85F8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12月9日，乘联分会公布数据显示，11月全国乘用车市场零售242.3万辆，同比增长16.5%，环比增长7.1%。今年以来累计零售2,025.7万辆，同比增长4.7%。其中11月常规燃油车零售115.5万辆，同比下降7%，环比增长8%；1-11月常规燃油车零售1,066.3万辆，同比下降15%。11月国内新能源车零售渗透率52.3%。（乘联</w:t>
      </w:r>
      <w:r>
        <w:rPr>
          <w:rFonts w:hint="eastAsia"/>
          <w:lang w:val="en-US" w:eastAsia="zh-CN"/>
        </w:rPr>
        <w:t>会</w:t>
      </w:r>
      <w:r>
        <w:rPr>
          <w:rFonts w:hint="eastAsia" w:ascii="Times New Roman" w:eastAsia="仿宋"/>
          <w:lang w:val="en-US" w:eastAsia="zh-CN"/>
        </w:rPr>
        <w:t>）</w:t>
      </w:r>
    </w:p>
    <w:p w14:paraId="3B851372">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eastAsia="仿宋"/>
          <w:lang w:val="en-US" w:eastAsia="zh-CN"/>
        </w:rPr>
      </w:pPr>
    </w:p>
    <w:p w14:paraId="176A97DE">
      <w:pPr>
        <w:pStyle w:val="3"/>
        <w:bidi w:val="0"/>
        <w:jc w:val="center"/>
        <w:rPr>
          <w:rFonts w:hint="default"/>
          <w:lang w:val="en-US" w:eastAsia="zh-CN"/>
        </w:rPr>
      </w:pPr>
      <w:r>
        <w:rPr>
          <w:rFonts w:hint="eastAsia"/>
          <w:lang w:val="en-US" w:eastAsia="zh-CN"/>
        </w:rPr>
        <w:t>全国家电以旧换新销售额突破2000亿元</w:t>
      </w:r>
    </w:p>
    <w:p w14:paraId="15BA3E36">
      <w:pPr>
        <w:ind w:firstLine="640" w:firstLineChars="200"/>
        <w:rPr>
          <w:rFonts w:hint="eastAsia"/>
          <w:lang w:val="en-US" w:eastAsia="zh-CN"/>
        </w:rPr>
      </w:pPr>
      <w:r>
        <w:rPr>
          <w:rFonts w:hint="eastAsia"/>
          <w:lang w:val="en-US" w:eastAsia="zh-CN"/>
        </w:rPr>
        <w:t>12月7日，商务部全国家电以旧换新数据平台显示，截至12月6日24时，2963.8万名消费者购买8大类家电产品4585万台，带动销售2019.7亿元，其中一级能效产品销售额占比超过90%。近期，各地深入开展家电以旧换新工作，政策效应进一步显现。全国家电以旧换新销售额突破1000亿元用时79天，从1000亿元到2000亿元仅用40天，更新消费潜力加速释放。各地一视同仁支持不同规模、不同所有制、不同注册地企业参与政策。（新华社）</w:t>
      </w:r>
    </w:p>
    <w:p w14:paraId="3CF738CA">
      <w:pPr>
        <w:rPr>
          <w:rFonts w:hint="eastAsia"/>
          <w:lang w:val="en-US" w:eastAsia="zh-CN"/>
        </w:rPr>
      </w:pPr>
    </w:p>
    <w:p w14:paraId="540DE980">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飞行汽车蓄势进入万亿元空中赛道</w:t>
      </w:r>
    </w:p>
    <w:p w14:paraId="35E258A9">
      <w:pPr>
        <w:ind w:firstLine="640" w:firstLineChars="200"/>
        <w:rPr>
          <w:rFonts w:hint="eastAsia"/>
          <w:highlight w:val="none"/>
          <w:lang w:val="en-US" w:eastAsia="zh-CN"/>
        </w:rPr>
      </w:pPr>
      <w:r>
        <w:rPr>
          <w:rFonts w:hint="eastAsia" w:ascii="Times New Roman" w:eastAsia="仿宋"/>
          <w:highlight w:val="none"/>
          <w:lang w:val="en-US" w:eastAsia="zh-CN"/>
        </w:rPr>
        <w:t>1</w:t>
      </w:r>
      <w:r>
        <w:rPr>
          <w:rFonts w:hint="eastAsia"/>
          <w:highlight w:val="none"/>
          <w:lang w:val="en-US" w:eastAsia="zh-CN"/>
        </w:rPr>
        <w:t>2</w:t>
      </w:r>
      <w:r>
        <w:rPr>
          <w:rFonts w:hint="eastAsia" w:ascii="Times New Roman" w:eastAsia="仿宋"/>
          <w:highlight w:val="none"/>
          <w:lang w:val="en-US" w:eastAsia="zh-CN"/>
        </w:rPr>
        <w:t>月</w:t>
      </w:r>
      <w:r>
        <w:rPr>
          <w:rFonts w:hint="eastAsia"/>
          <w:highlight w:val="none"/>
          <w:lang w:val="en-US" w:eastAsia="zh-CN"/>
        </w:rPr>
        <w:t>7</w:t>
      </w:r>
      <w:r>
        <w:rPr>
          <w:rFonts w:hint="eastAsia" w:ascii="Times New Roman" w:eastAsia="仿宋"/>
          <w:highlight w:val="none"/>
          <w:lang w:val="en-US" w:eastAsia="zh-CN"/>
        </w:rPr>
        <w:t>日，2024年被称为低空经济元年。今年以来，电动垂直起降飞行器(eVTOL，也被称为“飞行汽车”)成为最火热的细分赛道之一，商业化空间巨大，未来有望给生活和出行带来深刻变革。据相关机构预测，至2050年，飞行汽车的全球市场规模将达9万亿美元，中国有望成为全球最大的飞行汽车市场，潜在市场规模将达到2.1万亿美元。今年4月份，eVTOL龙头制造商之一广州亿航智能技术有限公司取得生产许可证，其产品EH216-S成为首个拿到全适航三证(？型号合格证、适航证、生产许可证)的无人驾驶载人飞行汽车。</w:t>
      </w:r>
      <w:r>
        <w:rPr>
          <w:rFonts w:hint="eastAsia"/>
          <w:highlight w:val="none"/>
          <w:lang w:val="en-US" w:eastAsia="zh-CN"/>
        </w:rPr>
        <w:t>（证券日报）</w:t>
      </w:r>
    </w:p>
    <w:p w14:paraId="2467AF83">
      <w:pPr>
        <w:rPr>
          <w:rFonts w:hint="eastAsia"/>
          <w:highlight w:val="none"/>
          <w:lang w:val="en-US" w:eastAsia="zh-CN"/>
        </w:rPr>
      </w:pPr>
    </w:p>
    <w:p w14:paraId="1E5CCCF3">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33家光伏企业闭门商讨防“内卷”，行业自律减产“承诺”的落地亟待市场验证飞</w:t>
      </w:r>
    </w:p>
    <w:p w14:paraId="7BCC1C5A">
      <w:pPr>
        <w:ind w:firstLine="640" w:firstLineChars="200"/>
        <w:rPr>
          <w:rFonts w:hint="eastAsia" w:ascii="Times New Roman" w:eastAsia="仿宋"/>
          <w:highlight w:val="none"/>
          <w:lang w:val="en-US" w:eastAsia="zh-CN"/>
        </w:rPr>
      </w:pPr>
      <w:r>
        <w:rPr>
          <w:rFonts w:hint="eastAsia"/>
          <w:highlight w:val="none"/>
          <w:lang w:val="en-US" w:eastAsia="zh-CN"/>
        </w:rPr>
        <w:t>12月7日，</w:t>
      </w:r>
      <w:r>
        <w:rPr>
          <w:rFonts w:hint="eastAsia" w:ascii="Times New Roman" w:eastAsia="仿宋"/>
          <w:highlight w:val="none"/>
          <w:lang w:val="en-US" w:eastAsia="zh-CN"/>
        </w:rPr>
        <w:t>据中国光伏行业协会官微最新消息，协会日前在年度大会同期举行关于促进光伏产业高质量可持续发展专题座谈会（下称“宜宾会议”），共计33家光伏企业参与该场闭门会，就防止“内卷式”恶性竞争主题进行探讨。2024年最后一个季度，光伏行业自律座谈会密集召开，几乎是“一月一次”的频率。（</w:t>
      </w:r>
      <w:r>
        <w:rPr>
          <w:rFonts w:hint="eastAsia"/>
          <w:highlight w:val="none"/>
          <w:lang w:val="en-US" w:eastAsia="zh-CN"/>
        </w:rPr>
        <w:t>第一财经</w:t>
      </w:r>
      <w:r>
        <w:rPr>
          <w:rFonts w:hint="eastAsia" w:ascii="Times New Roman" w:eastAsia="仿宋"/>
          <w:highlight w:val="none"/>
          <w:lang w:val="en-US" w:eastAsia="zh-CN"/>
        </w:rPr>
        <w:t>）</w:t>
      </w:r>
    </w:p>
    <w:p w14:paraId="6E902C6A">
      <w:pPr>
        <w:rPr>
          <w:rFonts w:hint="eastAsia" w:ascii="Times New Roman" w:eastAsia="仿宋"/>
          <w:highlight w:val="none"/>
          <w:lang w:val="en-US" w:eastAsia="zh-CN"/>
        </w:rPr>
      </w:pPr>
    </w:p>
    <w:p w14:paraId="50F9C6B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前11个月货物贸易进出口同比增长4.9%</w:t>
      </w:r>
    </w:p>
    <w:p w14:paraId="59D5EF7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12月10日</w:t>
      </w:r>
      <w:r>
        <w:rPr>
          <w:rFonts w:hint="eastAsia"/>
          <w:highlight w:val="none"/>
          <w:lang w:val="en-US" w:eastAsia="zh-CN"/>
        </w:rPr>
        <w:t>，据</w:t>
      </w:r>
      <w:r>
        <w:rPr>
          <w:rFonts w:hint="eastAsia" w:ascii="Times New Roman" w:eastAsia="仿宋"/>
          <w:highlight w:val="none"/>
          <w:lang w:val="en-US" w:eastAsia="zh-CN"/>
        </w:rPr>
        <w:t>公布的数据显示，今年前11个月，我国货物贸易进出口总值39.79万亿元，同比增长4.9%，实现平稳增长。其中，出口23.04万亿元，同比增长6.7%；进口16.75万亿元，同比增长2.4%。海关总署统计分析司司长吕大良表示，近期国务院常务会议审议通过《关于促进外贸稳定增长的若干政策措施》，商务部、海关总署等部门也推出了加快内外贸一体化发展、进一步优化口岸营商环境、促进企业通关便利等具体措施。“随着外贸领域存量和增量政策协同发力，全年外贸可望平稳收官，实现质升量稳目标。”吕大良说。（</w:t>
      </w:r>
      <w:r>
        <w:rPr>
          <w:rFonts w:hint="eastAsia"/>
          <w:highlight w:val="none"/>
          <w:lang w:val="en-US" w:eastAsia="zh-CN"/>
        </w:rPr>
        <w:t>海关总署</w:t>
      </w:r>
      <w:r>
        <w:rPr>
          <w:rFonts w:hint="eastAsia" w:ascii="Times New Roman" w:eastAsia="仿宋"/>
          <w:highlight w:val="none"/>
          <w:lang w:val="en-US" w:eastAsia="zh-CN"/>
        </w:rPr>
        <w:t>）</w:t>
      </w:r>
    </w:p>
    <w:p w14:paraId="23F2A758">
      <w:pPr>
        <w:rPr>
          <w:rFonts w:hint="default" w:ascii="Times New Roman" w:eastAsia="仿宋"/>
          <w:highlight w:val="none"/>
          <w:lang w:val="en-US" w:eastAsia="zh-CN"/>
        </w:rPr>
      </w:pPr>
    </w:p>
    <w:p w14:paraId="25952AD3">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前10月全球动力电池装车量增长，中韩差距持续扩大</w:t>
      </w:r>
    </w:p>
    <w:p w14:paraId="0C24B1E6">
      <w:pPr>
        <w:ind w:firstLine="640" w:firstLineChars="200"/>
        <w:rPr>
          <w:rFonts w:hint="default" w:ascii="Times New Roman" w:eastAsia="仿宋"/>
          <w:highlight w:val="none"/>
          <w:lang w:val="en-US" w:eastAsia="zh-CN"/>
        </w:rPr>
      </w:pPr>
      <w:r>
        <w:rPr>
          <w:rFonts w:hint="eastAsia" w:ascii="Times New Roman" w:eastAsia="仿宋"/>
          <w:highlight w:val="none"/>
          <w:lang w:val="en-US" w:eastAsia="zh-CN"/>
        </w:rPr>
        <w:t>12月5日，韩国研究机构SNE Research发布最新数据，2024年1-10月，全球动力电池装车量约为686.7GWh，同比增长25.0%。从市场份额来看，今年1-10月全球动力电池装车量TOP10公司中，6家中国电池厂商均实现增长，而日韩电池厂商LG Energy Solution、SK On、松下、三星SDI则出现下滑。时代周报记者注意到，日韩4家电池厂商从电池使用数量上看，除松下外，其余3家电池厂商对比去年同期均有所增长。然而，韩国电池厂商的整体市场份额同比下降3.5个百分点至20.2%，日本电池厂商唯一的独苗——松下的市场份额则压缩至4.1%。（</w:t>
      </w:r>
      <w:r>
        <w:rPr>
          <w:rFonts w:hint="eastAsia"/>
          <w:highlight w:val="none"/>
          <w:lang w:val="en-US" w:eastAsia="zh-CN"/>
        </w:rPr>
        <w:t>时代周报</w:t>
      </w:r>
      <w:r>
        <w:rPr>
          <w:rFonts w:hint="eastAsia" w:ascii="Times New Roman" w:eastAsia="仿宋"/>
          <w:highlight w:val="none"/>
          <w:lang w:val="en-US" w:eastAsia="zh-CN"/>
        </w:rPr>
        <w:t>）</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宁德时代拟在西班牙建合资电池工厂</w:t>
      </w:r>
    </w:p>
    <w:p w14:paraId="28337CD5">
      <w:pPr>
        <w:ind w:firstLine="640" w:firstLineChars="200"/>
        <w:rPr>
          <w:rFonts w:hint="eastAsia"/>
          <w:lang w:val="en-US" w:eastAsia="zh-CN"/>
        </w:rPr>
      </w:pPr>
      <w:r>
        <w:rPr>
          <w:rFonts w:hint="eastAsia"/>
          <w:lang w:val="en-US" w:eastAsia="zh-CN"/>
        </w:rPr>
        <w:t>12月10日，中国上市公司宁德时代新能源科技股份有限公司(下称“宁德时代”)10日发布公告称，公司拟在西班牙兴建合资电池工厂，该电池工厂预计总投资规模为40.38亿欧元。公告称，为进一步深化与Stellantis N.V.(下称“Stellantis”)的长期战略合作关系，支持其电动汽车生产和电气化战略目标，宁德时代及其旗下子公司与Stellantis旗下子公司等四方主体于当天签署了一份合资协议，宁德时代与Stellantis拟共同在西班牙出资成立合资公司，双方各持股50%，并以合资公司为主体在西班牙阿拉贡自治区萨拉戈萨市兴建合资电池工厂。（中国新闻网）</w:t>
      </w:r>
    </w:p>
    <w:p w14:paraId="2AC565D5">
      <w:pPr>
        <w:pStyle w:val="3"/>
        <w:bidi w:val="0"/>
        <w:jc w:val="center"/>
        <w:rPr>
          <w:rFonts w:hint="eastAsia"/>
          <w:lang w:val="en-US" w:eastAsia="zh-CN"/>
        </w:rPr>
      </w:pPr>
      <w:r>
        <w:rPr>
          <w:rFonts w:hint="eastAsia"/>
          <w:lang w:val="en-US" w:eastAsia="zh-CN"/>
        </w:rPr>
        <w:t>消息称台积电2nm芯片生产良率达60%以上，有望明年进入大规模生产阶段</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12月9日，台积电计划明年开始量产2纳米芯片，目前该公司已在位于新竹的台积电工厂进行试产，结果显示其2nm制程的良率已达到60%以上。这一数据还有较大提升空间，外媒称，通常相应芯片良率需要达到 70% 或更高才能进入大规模量产阶段。以目前 60% 的试产良率，台积电明年才能令其 2nm 工艺进入大规模生产阶段。（wccftech）</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三星押注XR</w:t>
      </w:r>
      <w:r>
        <w:rPr>
          <w:rFonts w:hint="eastAsia" w:ascii="黑体" w:hAnsi="黑体" w:eastAsia="黑体" w:cs="黑体"/>
          <w:b/>
          <w:bCs/>
          <w:lang w:val="en-US" w:eastAsia="zh-CN"/>
        </w:rPr>
        <w:t>，</w:t>
      </w:r>
      <w:r>
        <w:rPr>
          <w:rFonts w:hint="default" w:ascii="黑体" w:hAnsi="黑体" w:eastAsia="黑体" w:cs="黑体"/>
          <w:b/>
          <w:bCs/>
          <w:lang w:val="en-US" w:eastAsia="zh-CN"/>
        </w:rPr>
        <w:t>首款轻量AR眼镜计划明年出货5万台</w:t>
      </w:r>
    </w:p>
    <w:p w14:paraId="21041389">
      <w:pPr>
        <w:ind w:firstLine="640" w:firstLineChars="200"/>
        <w:rPr>
          <w:rFonts w:hint="default"/>
          <w:lang w:val="en-US" w:eastAsia="zh-CN"/>
        </w:rPr>
      </w:pPr>
      <w:r>
        <w:rPr>
          <w:rFonts w:hint="eastAsia"/>
          <w:lang w:val="en-US" w:eastAsia="zh-CN"/>
        </w:rPr>
        <w:t>12月</w:t>
      </w:r>
      <w:r>
        <w:rPr>
          <w:rFonts w:hint="default"/>
          <w:lang w:val="en-US" w:eastAsia="zh-CN"/>
        </w:rPr>
        <w:t>10日，三星内部正积极推进名为Infinite的扩展现实（XR）项目，计划在明年1月召开的Galaxy Unpacked发布会上公开展示，并会在2025年第三季度正式发售。三星电子已制定了XR设备的生产计划，预计在明年第三季度和第四季度分别出货2万至3万台以上。（sedaily）</w:t>
      </w:r>
    </w:p>
    <w:p w14:paraId="2232F585">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本川智能收购珠海硕鸿股权价款调增至4556万元</w:t>
      </w:r>
    </w:p>
    <w:p w14:paraId="162E8058">
      <w:pPr>
        <w:ind w:firstLine="640" w:firstLineChars="200"/>
        <w:rPr>
          <w:rFonts w:hint="default"/>
          <w:lang w:val="en-US" w:eastAsia="zh-CN"/>
        </w:rPr>
      </w:pPr>
      <w:r>
        <w:rPr>
          <w:rFonts w:hint="default"/>
          <w:lang w:val="en-US" w:eastAsia="zh-CN"/>
        </w:rPr>
        <w:t>12月10日</w:t>
      </w:r>
      <w:r>
        <w:rPr>
          <w:rFonts w:hint="eastAsia"/>
          <w:lang w:val="en-US" w:eastAsia="zh-CN"/>
        </w:rPr>
        <w:t>，</w:t>
      </w:r>
      <w:r>
        <w:rPr>
          <w:rFonts w:hint="default"/>
          <w:lang w:val="en-US" w:eastAsia="zh-CN"/>
        </w:rPr>
        <w:t>本川</w:t>
      </w:r>
      <w:r>
        <w:rPr>
          <w:rFonts w:hint="eastAsia"/>
          <w:lang w:val="en-US" w:eastAsia="zh-CN"/>
        </w:rPr>
        <w:t>智能</w:t>
      </w:r>
      <w:r>
        <w:rPr>
          <w:rFonts w:hint="default"/>
          <w:lang w:val="en-US" w:eastAsia="zh-CN"/>
        </w:rPr>
        <w:t>发布关于以自有资金收购股权的进展公告。公司于2024年10月28日与硕鸿电路版（集团）有限公司签订《股权转让协议》，以自有资金受让其持有的珠海硕鸿电路板有限公司100%的股权。珠海硕鸿已于2024年11月29日完成工商变更登记，并取得了相关营业执照。近日，公司与交易对方及标的公司签署了《股权转让协议补充协议》。根据标的公司资产负债清收情况，股权转让价款由原定的3950万元调增至4556万元，调增金额为606万元，受让方需在协议签署生效之日起7日内向转让方支付调增后的股权转让价款。（</w:t>
      </w:r>
      <w:r>
        <w:rPr>
          <w:rFonts w:hint="eastAsia"/>
          <w:lang w:val="en-US" w:eastAsia="zh-CN"/>
        </w:rPr>
        <w:t>财联社</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生益电子拟斥资14亿元投建智能算力中心电路板项目</w:t>
      </w:r>
    </w:p>
    <w:p w14:paraId="49CCFD90">
      <w:pPr>
        <w:ind w:firstLine="640" w:firstLineChars="200"/>
        <w:rPr>
          <w:rFonts w:hint="eastAsia"/>
          <w:lang w:val="en-US" w:eastAsia="zh-CN"/>
        </w:rPr>
      </w:pPr>
      <w:r>
        <w:rPr>
          <w:rFonts w:hint="default"/>
          <w:lang w:val="en-US" w:eastAsia="zh-CN"/>
        </w:rPr>
        <w:t>12月6日，生益电子发布公告称，公司董事会在对印制线路板行业以及智能算力等领域市场需求、技术需求充分调研评估的基础上，决议在公司东莞制造基地现有厂房投资建设智能算力中心高多层高密互连电路板项目。该项目计划投资金额约14亿元，包括但不限于公共设施、生产设备、检测设备等相关投入。公司将根据市场需求和业务进展等具体情况分阶段实施该项目。生益电子披露，本次对外投资资金来源为公司自有资金或自筹资金。项目计划分两阶段实施，项目总建设期计划为6年。其中，第一阶段预计在2025年试生产；第二阶段预计在2027年试生产。</w:t>
      </w:r>
      <w:r>
        <w:rPr>
          <w:rFonts w:hint="eastAsia"/>
          <w:lang w:val="en-US" w:eastAsia="zh-CN"/>
        </w:rPr>
        <w:t>（WIND）</w:t>
      </w:r>
    </w:p>
    <w:p w14:paraId="634CD8DE">
      <w:pPr>
        <w:bidi w:val="0"/>
        <w:rPr>
          <w:rFonts w:hint="default"/>
          <w:lang w:val="en-US" w:eastAsia="zh-CN"/>
        </w:rPr>
      </w:pPr>
      <w:r>
        <w:rPr>
          <w:rFonts w:hint="default"/>
          <w:lang w:val="en-US" w:eastAsia="zh-CN"/>
        </w:rPr>
        <w:drawing>
          <wp:inline distT="0" distB="0" distL="114300" distR="114300">
            <wp:extent cx="5256530" cy="2957195"/>
            <wp:effectExtent l="0" t="0" r="1270" b="1905"/>
            <wp:docPr id="2" name="图片 2" descr="776564eff1e2e0b31fd36783ad8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6564eff1e2e0b31fd36783ad8bb1a"/>
                    <pic:cNvPicPr>
                      <a:picLocks noChangeAspect="1"/>
                    </pic:cNvPicPr>
                  </pic:nvPicPr>
                  <pic:blipFill>
                    <a:blip r:embed="rId7"/>
                    <a:stretch>
                      <a:fillRect/>
                    </a:stretch>
                  </pic:blipFill>
                  <pic:spPr>
                    <a:xfrm>
                      <a:off x="0" y="0"/>
                      <a:ext cx="5256530" cy="2957195"/>
                    </a:xfrm>
                    <a:prstGeom prst="rect">
                      <a:avLst/>
                    </a:prstGeom>
                  </pic:spPr>
                </pic:pic>
              </a:graphicData>
            </a:graphic>
          </wp:inline>
        </w:drawing>
      </w:r>
      <w:bookmarkStart w:id="0" w:name="_GoBack"/>
      <w:bookmarkEnd w:id="0"/>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0A498F"/>
    <w:rsid w:val="278F5BF6"/>
    <w:rsid w:val="27B4797D"/>
    <w:rsid w:val="2859111F"/>
    <w:rsid w:val="28E16914"/>
    <w:rsid w:val="29BE15E9"/>
    <w:rsid w:val="2A5C5AFE"/>
    <w:rsid w:val="2A720D08"/>
    <w:rsid w:val="2B2524AF"/>
    <w:rsid w:val="2B312C8E"/>
    <w:rsid w:val="2C622E1D"/>
    <w:rsid w:val="2C7B02A7"/>
    <w:rsid w:val="2C8E7905"/>
    <w:rsid w:val="2CD77367"/>
    <w:rsid w:val="2D2626A0"/>
    <w:rsid w:val="2EF7039C"/>
    <w:rsid w:val="2F2D6FB5"/>
    <w:rsid w:val="2F6B4AD8"/>
    <w:rsid w:val="30797214"/>
    <w:rsid w:val="30EA07CC"/>
    <w:rsid w:val="313E5C07"/>
    <w:rsid w:val="31903FB7"/>
    <w:rsid w:val="31C0661C"/>
    <w:rsid w:val="325524D0"/>
    <w:rsid w:val="325A0517"/>
    <w:rsid w:val="32EB188E"/>
    <w:rsid w:val="33A05842"/>
    <w:rsid w:val="33B80305"/>
    <w:rsid w:val="33E62FE3"/>
    <w:rsid w:val="3442486C"/>
    <w:rsid w:val="34D423BC"/>
    <w:rsid w:val="350E5A19"/>
    <w:rsid w:val="35284C04"/>
    <w:rsid w:val="35523A2F"/>
    <w:rsid w:val="35734034"/>
    <w:rsid w:val="36FA437E"/>
    <w:rsid w:val="3783091D"/>
    <w:rsid w:val="37A7315E"/>
    <w:rsid w:val="3885411B"/>
    <w:rsid w:val="38F44DFD"/>
    <w:rsid w:val="39273424"/>
    <w:rsid w:val="3AC73557"/>
    <w:rsid w:val="3AE8373F"/>
    <w:rsid w:val="3AF712CC"/>
    <w:rsid w:val="3B170BE2"/>
    <w:rsid w:val="3B66696F"/>
    <w:rsid w:val="3B835876"/>
    <w:rsid w:val="3BCD47A7"/>
    <w:rsid w:val="3BFA4E20"/>
    <w:rsid w:val="3C402568"/>
    <w:rsid w:val="3E526AD0"/>
    <w:rsid w:val="4151729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495621"/>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077C97"/>
    <w:rsid w:val="65270184"/>
    <w:rsid w:val="65493C57"/>
    <w:rsid w:val="65736F26"/>
    <w:rsid w:val="65BF14FC"/>
    <w:rsid w:val="65DC06B2"/>
    <w:rsid w:val="66331F5B"/>
    <w:rsid w:val="67A506C3"/>
    <w:rsid w:val="67D27072"/>
    <w:rsid w:val="6932738D"/>
    <w:rsid w:val="695D4175"/>
    <w:rsid w:val="69FA1037"/>
    <w:rsid w:val="6A123A14"/>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3946B2F"/>
    <w:rsid w:val="74576EE0"/>
    <w:rsid w:val="74B8340E"/>
    <w:rsid w:val="74BC1E14"/>
    <w:rsid w:val="77025C02"/>
    <w:rsid w:val="77A576CA"/>
    <w:rsid w:val="78903D77"/>
    <w:rsid w:val="789F5C2E"/>
    <w:rsid w:val="78BE62B2"/>
    <w:rsid w:val="793D02F4"/>
    <w:rsid w:val="79576B39"/>
    <w:rsid w:val="7A3309A2"/>
    <w:rsid w:val="7AD65B35"/>
    <w:rsid w:val="7B8A47A6"/>
    <w:rsid w:val="7BC95581"/>
    <w:rsid w:val="7BF15DB3"/>
    <w:rsid w:val="7C981F04"/>
    <w:rsid w:val="7DEA794F"/>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3249</Words>
  <Characters>3635</Characters>
  <Lines>1</Lines>
  <Paragraphs>1</Paragraphs>
  <TotalTime>56</TotalTime>
  <ScaleCrop>false</ScaleCrop>
  <LinksUpToDate>false</LinksUpToDate>
  <CharactersWithSpaces>3693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2024-12-12T06:17:57Z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C31DC62293BC4C02A4411B8E4A79C07F_13</vt:lpwstr>
  </property>
</Properties>
</file>