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第98期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2025年6月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每周资讯|消费品以旧换新剩余支持资将有序下达；东山精密收购索尔思光电；广合科技赴港IPO</w:t>
      </w:r>
      <w:r>
        <w:rPr>
          <w:rFonts w:hint="eastAsia" w:ascii="Arial" w:hAnsi="Arial" w:eastAsia="黑体" w:cstheme="minorBidi"/>
          <w:b/>
          <w:kern w:val="2"/>
          <w:sz w:val="32"/>
          <w:szCs w:val="24"/>
          <w:highlight w:val="none"/>
          <w:lang w:val="en-US" w:eastAsia="zh-CN" w:bidi="ar-SA"/>
        </w:rPr>
        <w:t>.</w:t>
      </w:r>
      <w:bookmarkStart w:id="0" w:name="_GoBack"/>
      <w:bookmarkEnd w:id="0"/>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推动产业创新提质增效，促进平台经济健康发展</w:t>
      </w:r>
    </w:p>
    <w:p w14:paraId="03B6C0F9">
      <w:pPr>
        <w:ind w:firstLine="640" w:firstLineChars="200"/>
        <w:jc w:val="left"/>
        <w:rPr>
          <w:rFonts w:hint="eastAsia"/>
          <w:lang w:val="en-US" w:eastAsia="zh-CN"/>
        </w:rPr>
      </w:pPr>
      <w:r>
        <w:rPr>
          <w:rFonts w:hint="eastAsia"/>
          <w:lang w:val="en-US" w:eastAsia="zh-CN"/>
        </w:rPr>
        <w:t> 6月17日，中共中央政治局委员、国务院副总理张国清15日至17日在广东调研产业创新和促进平台经济健康发展等工作。他强调，要深入贯彻习近平总书记重要指示批示精神，落实党中央、国务院决策部署，推动科技创新和产业创新深度融合，不断塑造发展新动能新优势，坚持发展和规范并重，着力健全平台经济治理体系，构建公平有序的平台经济发展环境。(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国务院国资委最新部署国有企业改革深化提升行动</w:t>
      </w:r>
    </w:p>
    <w:p w14:paraId="18DA012E">
      <w:pPr>
        <w:ind w:firstLine="640" w:firstLineChars="200"/>
        <w:jc w:val="left"/>
        <w:rPr>
          <w:rFonts w:hint="eastAsia"/>
          <w:lang w:val="en-US" w:eastAsia="zh-CN"/>
        </w:rPr>
      </w:pPr>
      <w:r>
        <w:rPr>
          <w:rFonts w:hint="eastAsia"/>
          <w:lang w:val="en-US" w:eastAsia="zh-CN"/>
        </w:rPr>
        <w:t>6月17日，国务院国资委召开国有企业改革深化提升行动2025年第二次专题推进会。国务院国资委党委委员、副主任李镇在会上表示，要加大力度推动科技创新、产业创新及两者融合的体制机制改革工作，引导国企基金“投早投小投硬”。会上发布的信息显示，截至一季度末，各中央企业、各地国有企业改革深化提升行动重点改革任务平均完成率已超过80%。</w:t>
      </w:r>
      <w:r>
        <w:rPr>
          <w:rFonts w:hint="default"/>
          <w:lang w:eastAsia="zh-CN"/>
        </w:rPr>
        <w:t>（</w:t>
      </w:r>
      <w:r>
        <w:rPr>
          <w:rFonts w:hint="eastAsia"/>
          <w:lang w:val="en-US" w:eastAsia="zh-CN"/>
        </w:rPr>
        <w:t>海关统计</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国家有关部门：3000亿元消费品以旧换新剩余支持资将有序下达</w:t>
      </w:r>
    </w:p>
    <w:p w14:paraId="4B4041A8">
      <w:pPr>
        <w:ind w:firstLine="640" w:firstLineChars="200"/>
        <w:rPr>
          <w:rFonts w:hint="eastAsia" w:ascii="Times New Roman" w:eastAsia="仿宋"/>
          <w:lang w:val="en-US" w:eastAsia="zh-CN"/>
        </w:rPr>
      </w:pPr>
      <w:r>
        <w:rPr>
          <w:rFonts w:hint="eastAsia"/>
          <w:highlight w:val="none"/>
          <w:lang w:val="en-US" w:eastAsia="zh-CN"/>
        </w:rPr>
        <w:t>6月18日，国家相关主管部门就“国补”下一步计划回应称，今年国家安排3000亿元超长期特别国债资金支持消费品以旧换新，目前已向地方下达了共计1620亿元资金，剩余资金将有序下达。2025年的消费品以旧换新政策将全年实施，有关部门正指导地方平稳有序使用“国补”资金，推动政策发挥更大效能。</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0123FAB9">
      <w:pPr>
        <w:rPr>
          <w:rFonts w:hint="eastAsia"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5月份，全国规模以上工业增加值同比增长5.8%</w:t>
      </w:r>
    </w:p>
    <w:p w14:paraId="4420A97B">
      <w:pPr>
        <w:ind w:firstLine="640" w:firstLineChars="200"/>
        <w:rPr>
          <w:rFonts w:hint="eastAsia"/>
          <w:lang w:val="en-US" w:eastAsia="zh-CN"/>
        </w:rPr>
      </w:pPr>
      <w:r>
        <w:rPr>
          <w:rFonts w:hint="eastAsia"/>
          <w:lang w:val="en-US" w:eastAsia="zh-CN"/>
        </w:rPr>
        <w:t>6月17日，国家统计局发布最新经济数据显示，5月份，全国规模以上工业增加值同比增长5.8%，社会消费品零售总额增长6.4%。前5个月，全国固定资产投资同比增长3.7%。高端制造、数字经济等发展新动能持续壮大，5月份，规模以上高技术制造业增加值同比增长8.6%，数字产品制造业增加值同比增长9.1%。(央视新闻)</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充电基础设施建设与新能源汽车销量增长形成良性适配</w:t>
      </w:r>
    </w:p>
    <w:p w14:paraId="18D1DFF3">
      <w:pPr>
        <w:ind w:firstLine="640" w:firstLineChars="200"/>
        <w:rPr>
          <w:rFonts w:hint="eastAsia"/>
          <w:highlight w:val="none"/>
          <w:lang w:val="en-US" w:eastAsia="zh-CN"/>
        </w:rPr>
      </w:pPr>
      <w:r>
        <w:rPr>
          <w:rFonts w:hint="eastAsia"/>
          <w:highlight w:val="none"/>
          <w:lang w:val="en-US" w:eastAsia="zh-CN"/>
        </w:rPr>
        <w:t>6月16日，据央视网,中国电动汽车充电基础设施促进联盟了解到，我国充电基础设施建设持续保持高速增长态势，截至5月，累计数量已突破1440万台。2025年以来，我国充电基础设施与新能源汽车持续快速增长。最新数据显示，公共充电桩数量5月较4月新增9.1万台，同比增长33.9%，单月增量规模显著。（央视网）</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国家信息中心：今年前 5 个月 10 万元以下车型销量增长 51%</w:t>
      </w:r>
    </w:p>
    <w:p w14:paraId="312196D4">
      <w:pPr>
        <w:jc w:val="left"/>
        <w:rPr>
          <w:rFonts w:hint="eastAsia" w:ascii="Times New Roman" w:eastAsia="仿宋"/>
          <w:highlight w:val="none"/>
          <w:lang w:val="en-US" w:eastAsia="zh-CN"/>
        </w:rPr>
      </w:pPr>
      <w:r>
        <w:rPr>
          <w:rFonts w:hint="eastAsia"/>
          <w:highlight w:val="none"/>
          <w:lang w:val="en-US" w:eastAsia="zh-CN"/>
        </w:rPr>
        <w:t xml:space="preserve">   6 月 14 日，国家信息中心正高级经济师徐长明在 2025 轩辕汽车蓝皮书论坛上表示，去年和今年，30 万元以上的车型销量出现负增长。反而是 10 万元以下的车型，今年前 5 个月销量增长了 51%。10 万元以下车型销量占比从 2024 年的 22%，提升至今年前 5 个月的 27.2%。徐长明指出，国内乘用车价位段需求呈现两个显著不同的阶段性特征，即 2023 年前乘用车消费持续升级，2024 年连续降级。（乘联会）</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CPU厂商兆芯集成IPO获受理</w:t>
      </w:r>
    </w:p>
    <w:p w14:paraId="7381A429">
      <w:pPr>
        <w:ind w:firstLine="640" w:firstLineChars="200"/>
        <w:rPr>
          <w:rFonts w:hint="eastAsia"/>
          <w:lang w:val="en-US" w:eastAsia="zh-CN"/>
        </w:rPr>
      </w:pPr>
      <w:r>
        <w:rPr>
          <w:rFonts w:hint="eastAsia"/>
          <w:lang w:val="en-US" w:eastAsia="zh-CN"/>
        </w:rPr>
        <w:t>6月17日，上交所官网显示，上海兆芯集成电路股份有限公司（以下简称“兆芯集成”）科创板IPO申请获受理。</w:t>
      </w:r>
    </w:p>
    <w:p w14:paraId="30C62000">
      <w:pPr>
        <w:rPr>
          <w:rFonts w:hint="default"/>
          <w:lang w:val="en-US" w:eastAsia="zh-CN"/>
        </w:rPr>
      </w:pPr>
      <w:r>
        <w:rPr>
          <w:rFonts w:hint="eastAsia"/>
          <w:lang w:val="en-US" w:eastAsia="zh-CN"/>
        </w:rPr>
        <w:t> 招股书（申报稿）显示，兆芯集成掌握通用处理器及配套芯片设计研发的核心技术，覆盖处理器自主指令集拓展、内核微架构设计等关键领域，建立了可自主迭代发展、成熟完备、兼容x86生态的CPU技术体系。截至2024年12月31日，公司研发人员占员工总数的比例为75.97%，拥有已授权发明专利达1410项。（界面新闻）</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微软与AMD达成多年芯片合作，承诺下一代Xbox兼容现有游戏库</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6月18日，在全球上市公司中市值排名第一的微软周二确认，将继续与芯片公司AMD共同开发新一代Xbox游戏硬件。在一分多钟的视频中，微软Xbox部门总裁莎拉·邦德宣布，微软与AMD已经达成“多年战略合作”，双方将共同开发涵盖多种设备的芯片组——包括次世代Xbox主机和掌机。两家公司还将打造新一代Xbox云游戏服务。</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深天马遭韩国面板厂起诉</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6月16日，韩媒NEWS在其最新的一篇报道中指出，LG Display已在美国法院对中国显示器制造商天马提起专利侵权诉讼。LG Display声称天马的移动液晶显示器( LCD )和有机发光二极管( OLED )面板以及车载液晶面板侵犯了其多项专利。有业内人士透露，LG Display于13日(当地时间)向美国德克萨斯州东区地方法院对天马提起了七项显示技术专利侵权诉讼。起诉书显示，被控侵权的7项专利涵盖了从智能手机面板到汽车等多个领域。</w:t>
      </w:r>
      <w:r>
        <w:rPr>
          <w:rFonts w:hint="eastAsia" w:ascii="Times New Roman" w:eastAsia="仿宋"/>
          <w:highlight w:val="none"/>
          <w:lang w:val="en-US" w:eastAsia="zh-CN"/>
        </w:rPr>
        <w:t>（</w:t>
      </w:r>
      <w:r>
        <w:rPr>
          <w:rFonts w:hint="eastAsia"/>
          <w:highlight w:val="none"/>
          <w:lang w:val="en-US" w:eastAsia="zh-CN"/>
        </w:rPr>
        <w:t>韩媒NEWS</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亚马逊将投资200亿澳元扩建澳大利亚数据中心基础设施</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6月14日宣布，计划从2025年到2029年新投资200亿澳元，用于扩建、运营和维护其在澳大利亚的数据中心基础设施。这是澳大利亚公开宣布的最大一笔全球技术投资，将支持对云计算和人工智能需求的增长，加速人工智能的应用。</w:t>
      </w:r>
      <w:r>
        <w:rPr>
          <w:rFonts w:hint="eastAsia" w:ascii="Times New Roman" w:eastAsia="仿宋"/>
          <w:highlight w:val="none"/>
          <w:lang w:val="en-US" w:eastAsia="zh-CN"/>
        </w:rPr>
        <w:t>（</w:t>
      </w:r>
      <w:r>
        <w:rPr>
          <w:rFonts w:hint="eastAsia"/>
          <w:highlight w:val="none"/>
          <w:lang w:val="en-US" w:eastAsia="zh-CN"/>
        </w:rPr>
        <w:t>界面新闻</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三星显示8.6代OLED面板产线年底试运行，明年Q2全面量产</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6月15日，三星显示（Samsung Display）位于忠清南道牙山市的A6工厂第8.6代OLED生产线（第一阶段）将于今年年底启动试运行，并计划于2025年第二季度全面量产。该产线量产的时机与苹果预计在2025年下半年发布的OLED版MacBook Pro及iPad新品高度契合，标志着OLED面板在IT产品领域的进一步扩张。（财联社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东山精密拟以59.35亿元收购索尔思光电100%股权</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6月14日，苏州东山精密制造股份有限公司发布公告称，全资子公司香港超毅拟收购Source Photonics Holdings (Cayman)Limited（简称“索尔思光电”）100%股份，合计投资不超过59.35亿元。公告显示，索尔思光电100%股份收购对价不超过6.29亿美元，索尔思光电ESOP（Employee Stock Option Program，员工期权激励计划）权益收购对价不超过0.58亿美元。此外，东山精密拟认购索尔思光电不超过10亿元人民币的可转债。投资金额合计不超过人民币59.35亿元。交易完成后，索尔思光电将成为东山精密全资子公司。</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广州广合科技股份有限公司向港交所提交上市申请</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6月11日，广州广合科技股份有限公司向港交所提交上市申请，联席保荐人为中信证券和汇丰。广合科技是算力服务器关键部件PCB（印制电路板）制造商。2024年4月，公司A股股票已在深交所上市。这也意味着，公司开始冲刺“A+H”上市。（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一博科技：预计一博珠海PCB工厂年内可实现月度盈亏平衡</w:t>
      </w:r>
    </w:p>
    <w:p w14:paraId="78C060F5">
      <w:pPr>
        <w:ind w:firstLine="640" w:firstLineChars="200"/>
        <w:rPr>
          <w:rFonts w:hint="eastAsia" w:ascii="Times New Roman" w:eastAsia="仿宋"/>
          <w:highlight w:val="none"/>
          <w:lang w:val="en-US" w:eastAsia="zh-CN"/>
        </w:rPr>
      </w:pPr>
      <w:r>
        <w:rPr>
          <w:rFonts w:hint="eastAsia"/>
          <w:highlight w:val="none"/>
          <w:lang w:val="en-US" w:eastAsia="zh-CN"/>
        </w:rPr>
        <w:t>6月19日，一博科技在机构调研时表示，按照公司所了解的行业信息，新投资的PCB板厂在投产的前2—3年，一般很难实现盈亏平衡。但公司预计一博珠海PCB工厂年内可实现月度盈亏平衡，预期较行业普遍情况乐观。同时，在营收方面，今年珠海PCB工厂对公司总体营收的增长应有一定的贡献。</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3EA3E34B">
      <w:pPr>
        <w:rPr>
          <w:rFonts w:hint="eastAsia" w:ascii="Times New Roman" w:eastAsia="仿宋"/>
          <w:highlight w:val="none"/>
          <w:lang w:val="en-US" w:eastAsia="zh-CN"/>
        </w:rPr>
      </w:pPr>
    </w:p>
    <w:p w14:paraId="132EE47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锐翔智能：北交所上市申请已通过辅导验收</w:t>
      </w:r>
    </w:p>
    <w:p w14:paraId="45FABF7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6月18日</w:t>
      </w:r>
      <w:r>
        <w:rPr>
          <w:rFonts w:hint="eastAsia"/>
          <w:highlight w:val="none"/>
          <w:lang w:val="en-US" w:eastAsia="zh-CN"/>
        </w:rPr>
        <w:t>，</w:t>
      </w:r>
      <w:r>
        <w:rPr>
          <w:rFonts w:hint="eastAsia" w:ascii="Times New Roman" w:eastAsia="仿宋"/>
          <w:highlight w:val="none"/>
          <w:lang w:val="en-US" w:eastAsia="zh-CN"/>
        </w:rPr>
        <w:t>珠海锐翔智能科技股份有限公司董事会于发布公告，公告称，2025 年 6 月 18 日，公司收到广东证监局出具的《关于国泰海通证券股份有限公司辅导工作的验收工作完成函》（广东证监函[2025]794 号），公司在国泰海通的辅导下已通过广东证监局的辅导验收。（WIND）</w:t>
      </w:r>
    </w:p>
    <w:p w14:paraId="44A2AB7A">
      <w:pPr>
        <w:ind w:firstLine="640" w:firstLineChars="200"/>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47732AA"/>
    <w:rsid w:val="049727D9"/>
    <w:rsid w:val="04BE6757"/>
    <w:rsid w:val="04CD32E2"/>
    <w:rsid w:val="04E81B1A"/>
    <w:rsid w:val="057F11D8"/>
    <w:rsid w:val="060D3218"/>
    <w:rsid w:val="06CC35FE"/>
    <w:rsid w:val="07565116"/>
    <w:rsid w:val="07AD5543"/>
    <w:rsid w:val="08773E7A"/>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4E7219B"/>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2C6151D"/>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761E2D"/>
    <w:rsid w:val="4DBA440F"/>
    <w:rsid w:val="4DD93651"/>
    <w:rsid w:val="4E1C41B2"/>
    <w:rsid w:val="4E9563FB"/>
    <w:rsid w:val="4F92297F"/>
    <w:rsid w:val="4FE9329C"/>
    <w:rsid w:val="50255A1F"/>
    <w:rsid w:val="50393156"/>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1F640AC"/>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AF4B97"/>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022808"/>
    <w:rsid w:val="7A3309A2"/>
    <w:rsid w:val="7AD65B35"/>
    <w:rsid w:val="7B8A47A6"/>
    <w:rsid w:val="7B9F061D"/>
    <w:rsid w:val="7BC95581"/>
    <w:rsid w:val="7BF15DB3"/>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3024</Words>
  <Characters>3417</Characters>
  <Lines>1</Lines>
  <Paragraphs>1</Paragraphs>
  <TotalTime>305</TotalTime>
  <ScaleCrop>false</ScaleCrop>
  <LinksUpToDate>false</LinksUpToDate>
  <CharactersWithSpaces>3481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2025-06-19T06:14:55Z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BD2FF2FF2B1B4F5792195EE1F52A3249_13</vt:lpwstr>
  </property>
  <property fmtid="{D5CDD505-2E9C-101B-9397-08002B2CF9AE}" pid="4" name="KSOTemplateDocerSaveRecord">
    <vt:lpwstr>eyJoZGlkIjoiZWFlNjQ3NDIwZDEwN2RkZjI5ZmVhOGI2NjVlYTBkMTciLCJ1c2VySWQiOiIxMzgyMTM1ODU2In0=</vt:lpwstr>
  </property>
</Properties>
</file>