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第99期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2025年6月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每周资讯|我国扩内需政策全面加码；中国车企5月欧洲市场份额创新高；东山精密泰国工厂即将量产</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商务部公布外商投资企业境内投资信息报告试点地区</w:t>
      </w:r>
    </w:p>
    <w:p w14:paraId="03B6C0F9">
      <w:pPr>
        <w:ind w:firstLine="640" w:firstLineChars="200"/>
        <w:jc w:val="left"/>
        <w:rPr>
          <w:rFonts w:hint="eastAsia"/>
          <w:lang w:val="en-US" w:eastAsia="zh-CN"/>
        </w:rPr>
      </w:pPr>
      <w:r>
        <w:rPr>
          <w:rFonts w:hint="eastAsia"/>
          <w:lang w:val="en-US" w:eastAsia="zh-CN"/>
        </w:rPr>
        <w:t> 6月25日，商务部近日公告外商投资企业境内投资信息报告有关事项，进一步简化了投资信息报送手续，支持外商投资企业扩大境内再投资。根据公告，外商投资企业境内投资信息报告将以试点方式稳步推进，在江苏、上海、天津等地区开展首批试点，自7月1日起正式生效。公告显示，外商投资企业以本企业名义在中国境内投资设立企业、对被投资企业增资或购买被投资企业投资者股权（不含多层次投资）时，需依法履行信息报告义务</w:t>
      </w:r>
      <w:bookmarkStart w:id="0" w:name="_GoBack"/>
      <w:bookmarkEnd w:id="0"/>
      <w:r>
        <w:rPr>
          <w:rFonts w:hint="eastAsia"/>
          <w:lang w:val="en-US" w:eastAsia="zh-CN"/>
        </w:rPr>
        <w:t>。(新华社)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我国扩内需政策全面加码</w:t>
      </w:r>
    </w:p>
    <w:p w14:paraId="18DA012E">
      <w:pPr>
        <w:ind w:firstLine="640" w:firstLineChars="200"/>
        <w:jc w:val="left"/>
        <w:rPr>
          <w:rFonts w:hint="eastAsia"/>
          <w:lang w:val="en-US" w:eastAsia="zh-CN"/>
        </w:rPr>
      </w:pPr>
      <w:r>
        <w:rPr>
          <w:rFonts w:hint="eastAsia"/>
          <w:lang w:val="en-US" w:eastAsia="zh-CN"/>
        </w:rPr>
        <w:t>6月26日，中证报头版刊文指出，2025年上半年，我国扩内需政策全面加码，成为推动经济稳健前行的关键动力。消费品以旧换新政策效果持续显现，服务消费需求显著增长，新型消费不断涌现；“两重”建设加快推进，基础设施投资平稳增长。专家认为，扩内需政策在消费与投资两端协同发力，为经济持续回升向好筑牢根基。</w:t>
      </w:r>
      <w:r>
        <w:rPr>
          <w:rFonts w:hint="default"/>
          <w:lang w:eastAsia="zh-CN"/>
        </w:rPr>
        <w:t>（</w:t>
      </w:r>
      <w:r>
        <w:rPr>
          <w:rFonts w:hint="eastAsia"/>
          <w:lang w:val="en-US" w:eastAsia="zh-CN"/>
        </w:rPr>
        <w:t>中证报</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国台办回应台当局将华为、中芯等纳入出口管制名单</w:t>
      </w:r>
    </w:p>
    <w:p w14:paraId="4B4041A8">
      <w:pPr>
        <w:ind w:firstLine="640" w:firstLineChars="200"/>
        <w:rPr>
          <w:rFonts w:hint="eastAsia" w:ascii="Times New Roman" w:eastAsia="仿宋"/>
          <w:lang w:val="en-US" w:eastAsia="zh-CN"/>
        </w:rPr>
      </w:pPr>
      <w:r>
        <w:rPr>
          <w:rFonts w:hint="eastAsia"/>
          <w:highlight w:val="none"/>
          <w:lang w:val="en-US" w:eastAsia="zh-CN"/>
        </w:rPr>
        <w:t>6月25日，国务院台办举行例行新闻发布会。近日，台经济主管部门称，已将601个实体纳入“出口管制名单”，其中包括华为、中芯国际等大陆芯片研发企业。有岛内投资者担心，相关“出口禁令”会冲击台湾半导体企业。</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15CE4CB6">
      <w:pPr>
        <w:ind w:firstLine="640" w:firstLineChars="200"/>
        <w:rPr>
          <w:rFonts w:hint="eastAsia" w:ascii="Times New Roman" w:eastAsia="仿宋"/>
          <w:lang w:val="en-US" w:eastAsia="zh-CN"/>
        </w:rPr>
      </w:pPr>
    </w:p>
    <w:p w14:paraId="2999416D">
      <w:pPr>
        <w:jc w:val="center"/>
        <w:rPr>
          <w:rFonts w:hint="default" w:ascii="黑体" w:hAnsi="黑体" w:eastAsia="黑体" w:cs="黑体"/>
          <w:b/>
          <w:bCs/>
          <w:lang w:val="en-US" w:eastAsia="zh-CN"/>
        </w:rPr>
      </w:pPr>
      <w:r>
        <w:rPr>
          <w:rFonts w:hint="default" w:ascii="黑体" w:hAnsi="黑体" w:eastAsia="黑体" w:cs="黑体"/>
          <w:b/>
          <w:bCs/>
          <w:lang w:val="en-US" w:eastAsia="zh-CN"/>
        </w:rPr>
        <w:t>2025年千县万镇新能源汽车消费季活动将启</w:t>
      </w:r>
    </w:p>
    <w:p w14:paraId="471E6BD0">
      <w:pPr>
        <w:ind w:firstLine="640" w:firstLineChars="200"/>
        <w:rPr>
          <w:rFonts w:hint="eastAsia" w:ascii="Times New Roman" w:eastAsia="仿宋"/>
          <w:lang w:val="en-US" w:eastAsia="zh-CN"/>
        </w:rPr>
      </w:pPr>
      <w:r>
        <w:rPr>
          <w:rFonts w:hint="eastAsia" w:ascii="Times New Roman" w:eastAsia="仿宋"/>
          <w:highlight w:val="none"/>
          <w:lang w:val="en-US" w:eastAsia="zh-CN"/>
        </w:rPr>
        <w:t>6月24日，商务部网站消息，商务部办公厅发布关于组织开展2025年千县万镇新能源汽车消费季活动的通知。通知指出，为深入贯彻落实党中央、国务院关于大力提振消费的决策部署，持续释放新能源汽车消费潜力，加快培育汽车消费新增长点，按照“购在中国”系列活动安排，商务部将组织开展2025年千县万镇新能源汽车消费季活动。</w:t>
      </w:r>
      <w:r>
        <w:rPr>
          <w:rFonts w:hint="eastAsia" w:ascii="Times New Roman" w:eastAsia="仿宋"/>
          <w:lang w:val="en-US" w:eastAsia="zh-CN"/>
        </w:rPr>
        <w:t>(财联社)</w:t>
      </w:r>
    </w:p>
    <w:p w14:paraId="381F1CCD">
      <w:pPr>
        <w:ind w:firstLine="640" w:firstLineChars="200"/>
        <w:rPr>
          <w:rFonts w:hint="eastAsia" w:ascii="Times New Roman" w:eastAsia="仿宋"/>
          <w:lang w:val="en-US" w:eastAsia="zh-CN"/>
        </w:rPr>
      </w:pPr>
    </w:p>
    <w:p w14:paraId="0123FAB9">
      <w:pPr>
        <w:rPr>
          <w:rFonts w:hint="eastAsia"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工信部：前5个月电信业务收入累计完成7488亿元，同比增长1.4%</w:t>
      </w:r>
    </w:p>
    <w:p w14:paraId="4420A97B">
      <w:pPr>
        <w:ind w:firstLine="640" w:firstLineChars="200"/>
        <w:rPr>
          <w:rFonts w:hint="eastAsia"/>
          <w:lang w:val="en-US" w:eastAsia="zh-CN"/>
        </w:rPr>
      </w:pPr>
      <w:r>
        <w:rPr>
          <w:rFonts w:hint="eastAsia"/>
          <w:lang w:val="en-US" w:eastAsia="zh-CN"/>
        </w:rPr>
        <w:t>6月25日，工信部数据显示，前5个月，电信业务收入累计完成7488亿元，同比增长1.4%。按照上年不变价计算的电信业务总量同比增长8.6%。截至5月末，三家基础电信企业的固定互联网宽带接入用户总数达6.82亿户，比上年末净增1216万户。其中，100Mbps及以上接入速率的固定互联网宽带接入用户达6.48亿户，占总用户数的95%；1000Mbps及以上接入速率的固定互联网宽带接入用户达2.23亿户，比上年末净增1635万户，占总用户数的32.7%，占比较上年末提升1.8个百分点。(央视新闻)</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中国车企5月欧洲市场份额创新高</w:t>
      </w:r>
    </w:p>
    <w:p w14:paraId="18D1DFF3">
      <w:pPr>
        <w:ind w:firstLine="640" w:firstLineChars="200"/>
        <w:rPr>
          <w:rFonts w:hint="eastAsia"/>
          <w:highlight w:val="none"/>
          <w:lang w:val="en-US" w:eastAsia="zh-CN"/>
        </w:rPr>
      </w:pPr>
      <w:r>
        <w:rPr>
          <w:rFonts w:hint="eastAsia"/>
          <w:highlight w:val="none"/>
          <w:lang w:val="en-US" w:eastAsia="zh-CN"/>
        </w:rPr>
        <w:t>6月25日，据市场研究公司Dataforce公布的数据显示，今年5月，中国汽车品牌在欧洲的销量同比增长85%，超过6万辆。在欧洲整体市场销量仅有111.6万辆，同比增幅1.3%的前提下，中国汽车制造商的强劲增长令其在欧洲的市占率达到5.4%，创下历史最高纪录。据统计，这一数字在去年同期为3%，今年4月则为4.6%，市占率的再度刷新，也证明中国汽车品牌在欧洲影响力的日益提升。（央视网）</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截至5月底全国累计发电装机容量36.1亿千瓦</w:t>
      </w:r>
    </w:p>
    <w:p w14:paraId="312196D4">
      <w:pPr>
        <w:jc w:val="left"/>
        <w:rPr>
          <w:rFonts w:hint="eastAsia" w:ascii="Times New Roman" w:eastAsia="仿宋"/>
          <w:highlight w:val="none"/>
          <w:lang w:val="en-US" w:eastAsia="zh-CN"/>
        </w:rPr>
      </w:pPr>
      <w:r>
        <w:rPr>
          <w:rFonts w:hint="eastAsia"/>
          <w:highlight w:val="none"/>
          <w:lang w:val="en-US" w:eastAsia="zh-CN"/>
        </w:rPr>
        <w:t xml:space="preserve">   6月23日，国家能源局23日发布的数据显示，截至5月底，全国累计发电装机容量36.1亿千瓦，同比增长18.8%。其中，太阳能发电装机容量10.8亿千瓦，同比增长56.9%；风电装机容量5.7亿千瓦，同比增长23.1%。太阳能发电和风电装机容量占全国累计发电装机容量超过45%。（国家能源局）</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路透社：比亚迪已放缓生产并推迟扩张</w:t>
      </w:r>
    </w:p>
    <w:p w14:paraId="30C62000">
      <w:pPr>
        <w:ind w:firstLine="640" w:firstLineChars="200"/>
        <w:rPr>
          <w:rFonts w:hint="default"/>
          <w:lang w:val="en-US" w:eastAsia="zh-CN"/>
        </w:rPr>
      </w:pPr>
      <w:r>
        <w:rPr>
          <w:rFonts w:hint="eastAsia"/>
          <w:lang w:val="en-US" w:eastAsia="zh-CN"/>
        </w:rPr>
        <w:t>6月25日，据路透社报道，据两位知情人士透露，比亚迪近几个月已放缓生产和扩张步伐，减少了中国部分工厂的班次，并推迟了新增生产线的计划。报道提到，这些决策表明，尽管比亚迪在过去几年凭借强劲的销售增长超越特斯拉，成为全球最大电动汽车制造商，但其增长势头可能放缓。目前，即便在中国竞争激烈的汽车市场大幅降价后，比亚迪仍面临库存攀升的问题。报道还还提及，消息人士称，比亚迪已取消部分工厂的夜班，并将产能至少削减了三分之一。（界面新闻）</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谷歌推出开源AI智能体GeminiCLI</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6月25日，谷歌推出开源AI智能体GeminiCLI（命令行界面），将Gemini大模型的能力直接集成到开发者日常使用的命令行界面中。据悉，谷歌表示，这是个可以在终端里呼风唤雨的GeminiCLI，结合深度集成在IDE中的GeminiCodeAssist，可以将开发者所有熟悉的环境都变成Cursor。在任何编程场景中，都能调用Gemini辅助编程。</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深南电路-柳州职业技术大学国际产业学院在广西柳州市揭牌成立</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6月25日，深南电路-柳州职业技术大学国际产业学院(下称“国际产业学院”)在广西柳州市揭牌成立。首期项目将面向深南电路股份有限公司(下称“深南电路”)泰国基地及柳州本地电子信息企业，开展智能产线操作、国际质量标准等方向的人才定制化培养。该学院将通过中国学生“外语+职业技能”和泰国学生“中文+职业技能”订单培养，为深南电路国际化发展培养兼具国际视野与职业能力的高素质技能人才，为中国企业出海注入新动能。</w:t>
      </w:r>
      <w:r>
        <w:rPr>
          <w:rFonts w:hint="eastAsia" w:ascii="Times New Roman" w:eastAsia="仿宋"/>
          <w:highlight w:val="none"/>
          <w:lang w:val="en-US" w:eastAsia="zh-CN"/>
        </w:rPr>
        <w:t>（</w:t>
      </w:r>
      <w:r>
        <w:rPr>
          <w:rFonts w:hint="eastAsia"/>
          <w:highlight w:val="none"/>
          <w:lang w:val="en-US" w:eastAsia="zh-CN"/>
        </w:rPr>
        <w:t>韩媒NEWS</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沪电股份：2024年AI驱动领域营收超100亿元 泰国生产基地已小规模量产</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6月25日，据沪电股份公告，其在AI驱动的服务器、数据存储和高速网络基础设施等领域的营业收入达到了约100.93亿元，其中AI服务器和HPC相关PCB产品占比为29.48%，高速网络的交换机及其配套路由相关PCB产品占比为38.56%。公司的泰国生产基地已小规模量产，正在加速客户认证和产品导入工作，以提高生产效率和良率。公司计划在2025年下半年改善产能，并在2024年第四季度投资约43亿建设人工智能芯片配套高端印制电路板扩产项目。</w:t>
      </w:r>
      <w:r>
        <w:rPr>
          <w:rFonts w:hint="eastAsia" w:ascii="Times New Roman" w:eastAsia="仿宋"/>
          <w:highlight w:val="none"/>
          <w:lang w:val="en-US" w:eastAsia="zh-CN"/>
        </w:rPr>
        <w:t>（</w:t>
      </w:r>
      <w:r>
        <w:rPr>
          <w:rFonts w:hint="eastAsia"/>
          <w:highlight w:val="none"/>
          <w:lang w:val="en-US" w:eastAsia="zh-CN"/>
        </w:rPr>
        <w:t>界面新闻</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三星显示8.6代OLED面板产线年底试运行，明年Q2全面量产</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6月15日，三星显示（Samsung Display）位于忠清南道牙山市的A6工厂第8.6代OLED生产线（第一阶段）将于今年年底启动试运行，并计划于2025年第二季度全面量产。该产线量产的时机与苹果预计在2025年下半年发布的OLED版MacBook Pro及iPad新品高度契合，标志着OLED面板在IT产品领域的进一步扩张。（财联社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广合科技：拟使用募集资金1亿元向全资子公司增资实施募投项目</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6月25日公告称，公司拟使用募集资金人民币10,000万元对全资子公司黄石广合精密电路有限公司进行增资，以实施募投项目“黄石广合精密电路有限公司广合电路多高层精密线路板项目一期第二阶段工程”。本次增资完成后，黄石广合的注册资本将从58,000万元增加至68,000万元。公告显示，公司募投项目“黄石广合精密电路有限公司广合电路多高层精密线路板项目一期第二阶段工程”的实施主体为公司全资子公司黄石广合。为了便于募集资金管理并促进募投项目顺利实施，公司拟使用募集资金进行增资，增资前后公司均持有其100%股权。</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景旺电子：珠海高密度互连印刷电路板项目部分投产</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6月25日在投资者互动平台回答称，基于公司稳健经营的理念，景旺电子科技（珠海）有限公司一期工程——年产60万平方米高密度互连印刷电路板项目采用边建设边投产的方式，已于2021年6月部分投产，公司谨慎考虑宏观经济环境、行业发展、市场需求等因素适时控制投资节奏，目前项目建设正在加紧有序推进，不会影响高端PCB（可应用于服务器、光模块、汽车电子、高端消费电子等领域）的交付能力。2024年以来，珠海金湾基地头部客户导入顺利，产能利用率进一步提升，产品结构持续升级，对公司盈利能力产生了积极贡献。（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东山精密泰国工厂即将量产</w:t>
      </w:r>
    </w:p>
    <w:p w14:paraId="78C060F5">
      <w:pPr>
        <w:ind w:firstLine="640" w:firstLineChars="200"/>
        <w:rPr>
          <w:rFonts w:hint="eastAsia" w:ascii="Times New Roman" w:eastAsia="仿宋"/>
          <w:highlight w:val="none"/>
          <w:lang w:val="en-US" w:eastAsia="zh-CN"/>
        </w:rPr>
      </w:pPr>
      <w:r>
        <w:rPr>
          <w:rFonts w:hint="eastAsia"/>
          <w:highlight w:val="none"/>
          <w:lang w:val="en-US" w:eastAsia="zh-CN"/>
        </w:rPr>
        <w:t>6月24日，东山精密在投资者互动平台表示，目前公司泰国工厂基本已建设完成，主要从事电子电路相关产品的生产、制造和销售等。基于当前规划，预计公司泰国工厂今年下半年可实现量产。</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3EA3E34B">
      <w:pPr>
        <w:rPr>
          <w:rFonts w:hint="eastAsia" w:ascii="Times New Roman" w:eastAsia="仿宋"/>
          <w:highlight w:val="none"/>
          <w:lang w:val="en-US" w:eastAsia="zh-CN"/>
        </w:rPr>
      </w:pPr>
    </w:p>
    <w:p w14:paraId="132EE47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宝鼎科技：电子铜箔产品规格涵盖9μm至140μm 河西金矿一期扩产工程预计8月份完工</w:t>
      </w:r>
    </w:p>
    <w:p w14:paraId="45FABF7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6月24日</w:t>
      </w:r>
      <w:r>
        <w:rPr>
          <w:rFonts w:hint="eastAsia"/>
          <w:highlight w:val="none"/>
          <w:lang w:val="en-US" w:eastAsia="zh-CN"/>
        </w:rPr>
        <w:t>，</w:t>
      </w:r>
      <w:r>
        <w:rPr>
          <w:rFonts w:hint="eastAsia" w:ascii="Times New Roman" w:eastAsia="仿宋"/>
          <w:highlight w:val="none"/>
          <w:lang w:val="en-US" w:eastAsia="zh-CN"/>
        </w:rPr>
        <w:t>宝鼎科技在投资者互动平台回答称，公司电子铜箔产品包括高温高延伸性铜箔HTE、低轮廓铜箔LP、反转处理铜箔RTF和超低轮廓铜箔HVLP等，产品规格涵盖9μm至140μm，主要供应给覆铜板、印制电路板厂家；覆铜板产品包括玻纤布基覆铜板（FR-4）、复合基覆铜板和铝基覆铜板，主要供应给印制电路板厂家。河西金矿一期扩产工程按计划进行中，预计8月份完工并办理相关许可手续。（WIND）</w:t>
      </w:r>
    </w:p>
    <w:p w14:paraId="44A2AB7A">
      <w:pPr>
        <w:ind w:firstLine="640" w:firstLineChars="200"/>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47732AA"/>
    <w:rsid w:val="049727D9"/>
    <w:rsid w:val="04BE6757"/>
    <w:rsid w:val="04CD32E2"/>
    <w:rsid w:val="04E81B1A"/>
    <w:rsid w:val="057F11D8"/>
    <w:rsid w:val="060D3218"/>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4E7219B"/>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2C6151D"/>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AF4B97"/>
    <w:rsid w:val="6ACD604F"/>
    <w:rsid w:val="6B184A21"/>
    <w:rsid w:val="6C5A23DB"/>
    <w:rsid w:val="6C8F0A29"/>
    <w:rsid w:val="6C9824B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022808"/>
    <w:rsid w:val="7A3309A2"/>
    <w:rsid w:val="7AD65B35"/>
    <w:rsid w:val="7B8A47A6"/>
    <w:rsid w:val="7B9F061D"/>
    <w:rsid w:val="7BC95581"/>
    <w:rsid w:val="7BF15DB3"/>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3158</Words>
  <Characters>3499</Characters>
  <Lines>1</Lines>
  <Paragraphs>1</Paragraphs>
  <TotalTime>166</TotalTime>
  <ScaleCrop>false</ScaleCrop>
  <LinksUpToDate>false</LinksUpToDate>
  <CharactersWithSpaces>3553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2025-06-27T05:03:28Z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0C3C84C065E2468EA8D6382615906F2C_13</vt:lpwstr>
  </property>
  <property fmtid="{D5CDD505-2E9C-101B-9397-08002B2CF9AE}" pid="4" name="KSOTemplateDocerSaveRecord">
    <vt:lpwstr>eyJoZGlkIjoiZWFlNjQ3NDIwZDEwN2RkZjI5ZmVhOGI2NjVlYTBkMTciLCJ1c2VySWQiOiIxMzgyMTM1ODU2In0=</vt:lpwstr>
  </property>
</Properties>
</file>