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第100期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2025年7月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每周资讯|6月全国新能源市场零售同比增长25%；5月国内市场手机出货量同比下降21.8%；广合科技黄石工厂稼动率已超80%</w:t>
      </w: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.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.</w:t>
      </w:r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30FBD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商务部回应有报道称特朗普拟带企业团访华</w:t>
      </w:r>
    </w:p>
    <w:p w14:paraId="03B6C0F9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 7月3日，商务部召开例行新闻发布会，有记者就美国总统特朗普拟带企业团访华的有关报道提问。商务部新闻发言人何咏前回应说，关于这个问题，没有可以提供的信息。但是中方的态度是一贯且明确的，希望美方与中方相向而行，在两国元首的战略引领下，本着相互尊重、和平共处、合作共赢的原则，不断增进共识、减少误解、加强合作，共同推动中美经贸关系健康、稳定、可持续发展。(新华社)</w:t>
      </w:r>
    </w:p>
    <w:p w14:paraId="31D4B605">
      <w:pPr>
        <w:jc w:val="left"/>
        <w:rPr>
          <w:rFonts w:hint="eastAsia"/>
          <w:lang w:val="en-US" w:eastAsia="zh-CN"/>
        </w:rPr>
      </w:pPr>
    </w:p>
    <w:p w14:paraId="38EE14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美国取消全球三大芯片设计软件供应商对华出口限制</w:t>
      </w:r>
    </w:p>
    <w:p w14:paraId="18DA012E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月3日，据环球时报援引彭博社报道，特朗普政府已取消部分对华芯片设计软件出口许可要求。另据《南华早报》援引西门子、新思科技（Synopsys）和楷登电子（Cadence）公司发布的声明称，美国政府已于本周四取消对中国部分芯片设计软件的出口管制措施。三家全球领先的电子设计自动化（EDA）软件开发商均表示，未来其相关产品出口至中国将无需获得特别批准。摩根士丹利5月发布的研究显示，三家公司去年共占据中国EDA软件市场约82%的份额。EDA工具是芯片制造商在智能手机、计算机、汽车等广泛应用领域中进行半导体设计的核心软件。</w:t>
      </w:r>
      <w:r>
        <w:rPr>
          <w:rFonts w:hint="default"/>
          <w:lang w:eastAsia="zh-CN"/>
        </w:rPr>
        <w:t>（</w:t>
      </w:r>
      <w:r>
        <w:rPr>
          <w:rFonts w:hint="eastAsia"/>
          <w:lang w:val="en-US" w:eastAsia="zh-CN"/>
        </w:rPr>
        <w:t>财联社</w:t>
      </w:r>
      <w:r>
        <w:rPr>
          <w:rFonts w:hint="default"/>
          <w:lang w:eastAsia="zh-CN"/>
        </w:rPr>
        <w:t>）</w:t>
      </w:r>
    </w:p>
    <w:p w14:paraId="4C102710">
      <w:pPr>
        <w:rPr>
          <w:rFonts w:hint="default" w:ascii="Times New Roman" w:eastAsia="仿宋"/>
          <w:lang w:val="en-US" w:eastAsia="zh-CN"/>
        </w:rPr>
      </w:pPr>
    </w:p>
    <w:p w14:paraId="32F46135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工信部：综合治理光伏行业低价无序竞争，推动落后产能有序退出</w:t>
      </w:r>
    </w:p>
    <w:p w14:paraId="4B4041A8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3日，工业和信息化部党组书记、部长李乐成主持召开第十五次制造业企业座谈会，深入学习贯彻习近平总书记重要指示批示精神，落实党中央、国务院决策部署，聚焦加快推动光伏产业高质量发展，听取光伏行业企业及行业协会情况介绍和意见建议。工信部部长李乐成强调，要聚焦重点难点，依法依规、综合治理光伏行业低价无序竞争，引导企业提升产品品质，推动落后产能有序退出，实现健康、可持续发展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财联社</w:t>
      </w:r>
      <w:r>
        <w:rPr>
          <w:rFonts w:hint="eastAsia" w:ascii="Times New Roman" w:eastAsia="仿宋"/>
          <w:lang w:val="en-US" w:eastAsia="zh-CN"/>
        </w:rPr>
        <w:t>)</w:t>
      </w:r>
    </w:p>
    <w:p w14:paraId="15CE4CB6">
      <w:pPr>
        <w:ind w:firstLine="640" w:firstLineChars="200"/>
        <w:rPr>
          <w:rFonts w:hint="eastAsia" w:ascii="Times New Roman" w:eastAsia="仿宋"/>
          <w:lang w:val="en-US" w:eastAsia="zh-CN"/>
        </w:rPr>
      </w:pPr>
    </w:p>
    <w:p w14:paraId="2999416D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印尼与美国签署340亿美元贸易投资谅解备忘录</w:t>
      </w:r>
    </w:p>
    <w:p w14:paraId="471E6BD0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eastAsia"/>
          <w:highlight w:val="none"/>
          <w:lang w:val="en-US" w:eastAsia="zh-CN"/>
        </w:rPr>
        <w:t>7</w:t>
      </w:r>
      <w:r>
        <w:rPr>
          <w:rFonts w:hint="eastAsia" w:ascii="Times New Roman" w:eastAsia="仿宋"/>
          <w:highlight w:val="none"/>
          <w:lang w:val="en-US" w:eastAsia="zh-CN"/>
        </w:rPr>
        <w:t>月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ascii="Times New Roman" w:eastAsia="仿宋"/>
          <w:highlight w:val="none"/>
          <w:lang w:val="en-US" w:eastAsia="zh-CN"/>
        </w:rPr>
        <w:t>日，高级官员称，美国和印尼将签署一项价值340亿美元的协议，涵盖投资和商品购买。印尼协调经济部长Airlangga Hartarto周四在雅加达表示，根据将于7月7日签署的谅解备忘录，这个东南亚最大的经济体将在美国投资，购买，并从美国购买价值155亿美元的能源产品，。该官员表示，7月7日签署的谅解备忘录是印尼与美国关税谈判的一部分。</w:t>
      </w:r>
      <w:r>
        <w:rPr>
          <w:rFonts w:hint="eastAsia" w:ascii="Times New Roman" w:eastAsia="仿宋"/>
          <w:lang w:val="en-US" w:eastAsia="zh-CN"/>
        </w:rPr>
        <w:t>(财联社)</w:t>
      </w:r>
    </w:p>
    <w:p w14:paraId="381F1CCD">
      <w:pPr>
        <w:ind w:firstLine="640" w:firstLineChars="200"/>
        <w:rPr>
          <w:rFonts w:hint="eastAsia" w:ascii="Times New Roman" w:eastAsia="仿宋"/>
          <w:lang w:val="en-US" w:eastAsia="zh-CN"/>
        </w:rPr>
      </w:pPr>
    </w:p>
    <w:p w14:paraId="0123FAB9">
      <w:pPr>
        <w:rPr>
          <w:rFonts w:hint="eastAsia" w:ascii="Times New Roman" w:eastAsia="仿宋"/>
          <w:lang w:val="en-US" w:eastAsia="zh-CN"/>
        </w:rPr>
      </w:pP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176A97DE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6月全国新能源市场零售107.1万辆，同比增长25%</w:t>
      </w:r>
    </w:p>
    <w:p w14:paraId="4420A97B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月3日，乘联分会公布汽车市场周度分析。数据显示，6月1-30日，全国乘用车新能源市场零售107.1万辆，同比去年6月同期增长25%，较上月增长4%，全国乘用车新能源市场零售渗透率52.7%。今年以来累计零售542.9万辆，同比增长32%。6月1-30日，全国乘用车厂商新能源批发125.9万辆，同比去年6月同期增长28%，较上月增长3%，全国乘用车厂商新能源批发渗透率50.9%，今年以来累计批发646.5万辆，同比增长38%。(乘联会)</w:t>
      </w:r>
    </w:p>
    <w:p w14:paraId="06D75077">
      <w:pPr>
        <w:rPr>
          <w:rFonts w:hint="eastAsia"/>
          <w:lang w:val="en-US" w:eastAsia="zh-CN"/>
        </w:rPr>
      </w:pPr>
    </w:p>
    <w:p w14:paraId="2EA60019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增值税发票数据显示：前5个月我国制造业企业销售收入同比增长4.2%</w:t>
      </w:r>
    </w:p>
    <w:p w14:paraId="18D1DFF3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4日，据国家税务总局消息，在结构性减税降费政策有力推动下，我国科技创新与制造业高质量发展加快推进。一是创新动能增势向好。增值税发票数据显示，今年前5个月，高技术产业销售收入同比增长14.2%，明显快于全国总体增速，反映创新产业增长较快。数字经济核心产业同比增长10%，全国企业采购数字技术金额同比增长9.7%，反映数实融合有序推进。（央视网）</w:t>
      </w:r>
    </w:p>
    <w:p w14:paraId="3A820C22">
      <w:pPr>
        <w:ind w:firstLine="640" w:firstLineChars="200"/>
        <w:rPr>
          <w:rFonts w:hint="eastAsia"/>
          <w:highlight w:val="none"/>
          <w:lang w:val="en-US" w:eastAsia="zh-CN"/>
        </w:rPr>
      </w:pPr>
    </w:p>
    <w:p w14:paraId="4FC5657E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中国信通院：5月国内市场手机出货量2371.6万部，同比下降21.8%</w:t>
      </w:r>
    </w:p>
    <w:p w14:paraId="312196D4">
      <w:pPr>
        <w:jc w:val="left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7月4日，据中国信通院数据，2025年5月，国内市场手机出货量2371.6万部，同比下降21.8%，其中，5G手机2119.0万部，同比下降17.0%，占同期手机出货量的89.3%。2025年1—5月,国内市场手机出货量1.18亿部，同比下降2.8%，其中，5G手机1.02亿部，同比下降0.1%，占同期手机出货量的86.2%。（中国信通院）</w:t>
      </w:r>
    </w:p>
    <w:p w14:paraId="019BD5DC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4D6FA0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苹果在华iPhone销量自2023年以来首次增长</w:t>
      </w:r>
    </w:p>
    <w:p w14:paraId="30C6200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7月4日，行业研究机构Counterpoint Research的数据表示，今年第二季度，苹果iPhone在中国的销量两年来首次出现增长，这可能是这家科技巨头在其最关键的市场之一的业绩拐点。截至6月底的第二季度里，iPhone在中国的销量同比增长了8%。这是苹果自2023年第二季度以来，首次在中国实现销量增长。（界面新闻）</w:t>
      </w:r>
    </w:p>
    <w:p w14:paraId="147ED49F">
      <w:pPr>
        <w:rPr>
          <w:rFonts w:hint="eastAsia"/>
          <w:lang w:val="en-US" w:eastAsia="zh-CN"/>
        </w:rPr>
      </w:pPr>
    </w:p>
    <w:p w14:paraId="4DE28F38"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由于缺乏客户，三星美国芯片工厂延迟完工</w:t>
      </w:r>
    </w:p>
    <w:p w14:paraId="7441AE3D">
      <w:pPr>
        <w:ind w:firstLine="640" w:firstLineChars="200"/>
        <w:rPr>
          <w:rFonts w:hint="default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3日，知情人士表示，三星电子在美国得克萨斯州的一家半导体工厂将推迟完工，因为这家韩国芯片制造商正努力为该工厂的产品寻找客户。三星曾表示，未来几年将在得州投资超过370亿美元。去年12月，根据旨在提升美国技术领先地位的《芯片与科学法案》，三星获得了拜登政府高达47亿美元的拨款。这笔投资包括在得州泰勒建设一家工厂，旨在生产尖端芯片，原计划于2024年投产。这个时间框架已经被推迟到2026年。</w:t>
      </w:r>
      <w:r>
        <w:rPr>
          <w:rFonts w:hint="eastAsia" w:ascii="Times New Roman" w:eastAsia="仿宋"/>
          <w:highlight w:val="none"/>
          <w:lang w:val="en-US" w:eastAsia="zh-CN"/>
        </w:rPr>
        <w:t>(</w:t>
      </w:r>
      <w:r>
        <w:rPr>
          <w:rFonts w:hint="eastAsia"/>
          <w:highlight w:val="none"/>
          <w:lang w:val="en-US" w:eastAsia="zh-CN"/>
        </w:rPr>
        <w:t>第一财经)</w:t>
      </w:r>
    </w:p>
    <w:p w14:paraId="78D240EB">
      <w:pPr>
        <w:rPr>
          <w:rFonts w:hint="eastAsia" w:ascii="Times New Roman" w:eastAsia="仿宋"/>
          <w:highlight w:val="none"/>
          <w:lang w:val="en-US" w:eastAsia="zh-CN"/>
        </w:rPr>
      </w:pPr>
    </w:p>
    <w:p w14:paraId="103B975F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受美政策影响，台积电推迟日本工厂建设</w:t>
      </w:r>
    </w:p>
    <w:p w14:paraId="27CA046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4日，据美国《华尔街日报》报道，知情人士称，台积电正推迟在日本的第二家工厂的建设，一个原因是该公司正赶在特朗普政府可能加征关税之前，加快对在美扩张的资金投入。报道称，台积电这一计划的调整再次表明，美国总统特朗普在贸易问题上的强硬立场正以牺牲盟友为代价，将一些投资吸引到美国。多家大型科技公司已承诺扩大人工智能（AI）服务器在美国的生产，这些服务器目前在墨西哥和台湾等地制造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华尔街日报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FF813C6">
      <w:pPr>
        <w:rPr>
          <w:rFonts w:hint="eastAsia" w:ascii="Times New Roman" w:eastAsia="仿宋"/>
          <w:highlight w:val="none"/>
          <w:lang w:val="en-US" w:eastAsia="zh-CN"/>
        </w:rPr>
      </w:pPr>
    </w:p>
    <w:p w14:paraId="647C5FA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弘信电子拟发行不超5亿元科技创新债券，算力业务加速放量</w:t>
      </w:r>
    </w:p>
    <w:p w14:paraId="71F1C254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7月6日，弘信电子公告，拟向中国银行间市场交易商协会申请注册发行2025年度第一期科技创新债券，发行规模最高不超过5亿元，发行期限不超过3年。拆分来看，2024年弘信电子传统主业FPC与背光模组销售收入为38亿元，同比增长12.6%；算力相关业务大幅放量，年度板块营收达19.88亿元，同比大增53倍，占总营收比重由2023年的1.06%增长至33.84%。二季度以来，弘信电子频获算力业务订单。5月，控股子公司厦门燧弘系统集成有限公司、甘肃燧弘人工智能科技有限公司</w:t>
      </w:r>
      <w:bookmarkStart w:id="0" w:name="_GoBack"/>
      <w:bookmarkEnd w:id="0"/>
      <w:r>
        <w:rPr>
          <w:rFonts w:hint="eastAsia" w:ascii="Times New Roman" w:eastAsia="仿宋"/>
          <w:highlight w:val="none"/>
          <w:lang w:val="en-US" w:eastAsia="zh-CN"/>
        </w:rPr>
        <w:t>分别与B公司、X公司签署技术服务合同及硬件采购合同，合同金额分别为1.77亿元、3.85亿元。</w:t>
      </w:r>
      <w:r>
        <w:rPr>
          <w:rFonts w:hint="eastAsia"/>
          <w:highlight w:val="none"/>
          <w:lang w:val="en-US" w:eastAsia="zh-CN"/>
        </w:rPr>
        <w:t>（界面新闻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7F6246FC">
      <w:pPr>
        <w:rPr>
          <w:rFonts w:hint="eastAsia" w:ascii="Times New Roman" w:eastAsia="仿宋"/>
          <w:highlight w:val="none"/>
          <w:lang w:val="en-US" w:eastAsia="zh-CN"/>
        </w:rPr>
      </w:pPr>
    </w:p>
    <w:p w14:paraId="032FDFE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明阳电路2个募投项目延期至2027年7月6日完成</w:t>
      </w:r>
    </w:p>
    <w:p w14:paraId="681E33D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4日，明阳电路发布公告，公司决定将2023年向不特定对象发行可转换公司债券募投项目“年产12万平方米新能源汽车PCB专线建设项目”及“总部运营中心建设项目”的预计可使用状态日期延后至2027年7月6日。此次延期是基于公司对项目实施进度的审慎评估，未改变项目实施主体、募集资金投资用途及投资规模。公司表示，因受到宏观经济和市场环境的影响，项目的实际投资进度有所放缓，故决定进行延期。（财联社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62DC4DC7">
      <w:pPr>
        <w:rPr>
          <w:rFonts w:hint="eastAsia" w:ascii="Times New Roman" w:eastAsia="仿宋"/>
          <w:highlight w:val="none"/>
          <w:lang w:val="en-US" w:eastAsia="zh-CN"/>
        </w:rPr>
      </w:pPr>
    </w:p>
    <w:p w14:paraId="1D31E7F1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鹏鼎控股：淮安第三园区高阶HDI及SLP项目和高雄园区已投产，泰国园区一期预计下半年小批量投产</w:t>
      </w:r>
    </w:p>
    <w:p w14:paraId="3B97F66E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3日，鹏鼎控股称，今年公司淮安第三园区高阶HDI及SLP项目、高雄园区均已投产；泰国园区第一期目前已完成建设，接下来会进行认证及打样，预计今年下半年能小批量投产。公司为行业领先客户提供全方位PCB产品及服务，在算力产品及端侧产品均有布局，不方便对单一客户进行评价。公司紧跟技术前沿，采取先进制程工艺，生产的印制电路板产品最小孔径可达0.025mm、最小线宽可达0.020mm，公司在新一代USB集成模组、新世代显示模组、多功能动态弯折模组、新型天线模组、车载激光雷达、高阶摄像模组、太空通讯板、LED封装模组板、高阶光模块、高速运算AI板、第三代类载板、高端交换机和框架板、高精细智能主板等产品，均已实现产品开发与制程建立，已具备产业化能力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证券之星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7C7C531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</w:p>
    <w:p w14:paraId="1EF14F4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东山精密披露收购索尔思光电最新进展</w:t>
      </w:r>
    </w:p>
    <w:p w14:paraId="7C971DB2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7月1日，苏州东山精密制造股份有限公司召开特定机构投资者会议，执行总裁单建斌、董事会秘书冒小燕、投关总监熊丹出席并介绍公司最新业务进展。在会议中，东山精密重点披露了其对全球光通信模块头部厂商索尔思光电（Source Photonics）的战略性收购进展。公司计划通过旗下全资子公司超毅集团，完成对索尔思光电100%股权的收购，并同步认购其可转债。目前，该交易预计于今年第三季度完成交割，相关审批流程正在积极推进中。（香港万得通讯社）</w:t>
      </w:r>
    </w:p>
    <w:p w14:paraId="19D517E2">
      <w:pPr>
        <w:rPr>
          <w:rFonts w:hint="eastAsia" w:ascii="Times New Roman" w:eastAsia="仿宋"/>
          <w:highlight w:val="none"/>
          <w:lang w:val="en-US" w:eastAsia="zh-CN"/>
        </w:rPr>
      </w:pPr>
    </w:p>
    <w:p w14:paraId="1C788E9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本川智能与多方投资设立的合资公司完成工商注册</w:t>
      </w:r>
    </w:p>
    <w:p w14:paraId="78C060F5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3日，本川智能发布公告，近期公司完成了与多方的对外投资暨关联交易进展。根据公告，公司与上海芯华睿半导体科技有限公司、姜桂宾、深圳保腾福顺创业投资基金合伙企业（有限合伙）及经营技术团队持股平台（有限合伙）共同投资设立了上海本川鹏芯科技有限公司，注册资本为1000万元。公司拟以现金方式认缴510万元，完成后将持有合资公司51%股权，合资公司将纳入公司合并报表范围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WIND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3EA3E34B">
      <w:pPr>
        <w:rPr>
          <w:rFonts w:hint="eastAsia" w:ascii="Times New Roman" w:eastAsia="仿宋"/>
          <w:highlight w:val="none"/>
          <w:lang w:val="en-US" w:eastAsia="zh-CN"/>
        </w:rPr>
      </w:pPr>
    </w:p>
    <w:p w14:paraId="132EE47C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广合科技：黄石工厂稼动率已超80%，预计2025年全年实现扭亏为盈</w:t>
      </w:r>
    </w:p>
    <w:p w14:paraId="45FABF7F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7月3日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广合科技称，黄石工厂稼动率持续提升，稼动率已超过80%，预计2025年全年将实现扭亏为盈。</w:t>
      </w:r>
      <w:r>
        <w:rPr>
          <w:rFonts w:hint="eastAsia"/>
          <w:highlight w:val="none"/>
          <w:lang w:val="en-US" w:eastAsia="zh-CN"/>
        </w:rPr>
        <w:t>另外，公司通过外派管理、技术人员，招聘泰籍员工赴广州工厂培训等方式，组织起泰国工厂第一阶段的人员队伍。目前泰国工厂已经正式投产。后续公司将持续强化培训体系，以克服当地技术人才短缺的困难。同时广州工厂会对泰国工厂提供支援，帮助其尽快完成产能爬升。</w:t>
      </w:r>
      <w:r>
        <w:rPr>
          <w:rFonts w:hint="eastAsia" w:ascii="Times New Roman" w:eastAsia="仿宋"/>
          <w:highlight w:val="none"/>
          <w:lang w:val="en-US" w:eastAsia="zh-CN"/>
        </w:rPr>
        <w:t>（WIND）</w:t>
      </w:r>
    </w:p>
    <w:p w14:paraId="44A2AB7A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</w:p>
    <w:p w14:paraId="634CD8DE">
      <w:pPr>
        <w:pStyle w:val="8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53355" cy="2954655"/>
            <wp:effectExtent l="0" t="0" r="4445" b="4445"/>
            <wp:docPr id="4" name="图片 4" descr="横版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横版大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 CPCA 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953F8"/>
    <w:rsid w:val="008F6183"/>
    <w:rsid w:val="00970586"/>
    <w:rsid w:val="01785675"/>
    <w:rsid w:val="017D23A8"/>
    <w:rsid w:val="01DC7DD6"/>
    <w:rsid w:val="01DF631E"/>
    <w:rsid w:val="02376B7A"/>
    <w:rsid w:val="02765870"/>
    <w:rsid w:val="02DE4A39"/>
    <w:rsid w:val="047732AA"/>
    <w:rsid w:val="049727D9"/>
    <w:rsid w:val="04BE6757"/>
    <w:rsid w:val="04CD32E2"/>
    <w:rsid w:val="04E81B1A"/>
    <w:rsid w:val="057F11D8"/>
    <w:rsid w:val="060D3218"/>
    <w:rsid w:val="06CC35FE"/>
    <w:rsid w:val="07565116"/>
    <w:rsid w:val="07AD5543"/>
    <w:rsid w:val="08773E7A"/>
    <w:rsid w:val="08C477D5"/>
    <w:rsid w:val="09834103"/>
    <w:rsid w:val="0A21302B"/>
    <w:rsid w:val="0A46280F"/>
    <w:rsid w:val="0A977BD6"/>
    <w:rsid w:val="0AFA5870"/>
    <w:rsid w:val="0B19257F"/>
    <w:rsid w:val="0B3F58BD"/>
    <w:rsid w:val="0B494101"/>
    <w:rsid w:val="0B6426D4"/>
    <w:rsid w:val="0B78105E"/>
    <w:rsid w:val="0B9176F8"/>
    <w:rsid w:val="0C9B6BDE"/>
    <w:rsid w:val="0C9C373F"/>
    <w:rsid w:val="0CCF6098"/>
    <w:rsid w:val="0D126C01"/>
    <w:rsid w:val="0D9373FE"/>
    <w:rsid w:val="0DAC478F"/>
    <w:rsid w:val="0DB15454"/>
    <w:rsid w:val="0E47788B"/>
    <w:rsid w:val="0F046CBD"/>
    <w:rsid w:val="0F601A19"/>
    <w:rsid w:val="0F9E17AE"/>
    <w:rsid w:val="100920B1"/>
    <w:rsid w:val="104666EA"/>
    <w:rsid w:val="10946843"/>
    <w:rsid w:val="110E34BB"/>
    <w:rsid w:val="110E73FF"/>
    <w:rsid w:val="111028B5"/>
    <w:rsid w:val="11771034"/>
    <w:rsid w:val="124F6B19"/>
    <w:rsid w:val="12DA74B7"/>
    <w:rsid w:val="12DB66FD"/>
    <w:rsid w:val="12F91530"/>
    <w:rsid w:val="1306430A"/>
    <w:rsid w:val="136B7FB0"/>
    <w:rsid w:val="13835D97"/>
    <w:rsid w:val="138676EA"/>
    <w:rsid w:val="141C258C"/>
    <w:rsid w:val="14C12F5A"/>
    <w:rsid w:val="15251B3B"/>
    <w:rsid w:val="1526048F"/>
    <w:rsid w:val="15B46645"/>
    <w:rsid w:val="15DB7145"/>
    <w:rsid w:val="15E46F00"/>
    <w:rsid w:val="16960A92"/>
    <w:rsid w:val="16BC1C2B"/>
    <w:rsid w:val="16CF0148"/>
    <w:rsid w:val="17062EEA"/>
    <w:rsid w:val="182267CA"/>
    <w:rsid w:val="18A46E1B"/>
    <w:rsid w:val="199B6470"/>
    <w:rsid w:val="1A622AE9"/>
    <w:rsid w:val="1A8C739D"/>
    <w:rsid w:val="1B72369B"/>
    <w:rsid w:val="1B842559"/>
    <w:rsid w:val="1C2516BD"/>
    <w:rsid w:val="1CAD60E0"/>
    <w:rsid w:val="1D18610F"/>
    <w:rsid w:val="1E5209CD"/>
    <w:rsid w:val="1E5D6D5E"/>
    <w:rsid w:val="1E645BF0"/>
    <w:rsid w:val="1EB9047B"/>
    <w:rsid w:val="1F0926FA"/>
    <w:rsid w:val="1F390CCB"/>
    <w:rsid w:val="1F3F651D"/>
    <w:rsid w:val="1FCC39FA"/>
    <w:rsid w:val="1FFE35CC"/>
    <w:rsid w:val="200C07F7"/>
    <w:rsid w:val="20897E6F"/>
    <w:rsid w:val="20BD71EB"/>
    <w:rsid w:val="20BE2B76"/>
    <w:rsid w:val="20CC0EE2"/>
    <w:rsid w:val="21B84562"/>
    <w:rsid w:val="21C04BDE"/>
    <w:rsid w:val="21C24B9B"/>
    <w:rsid w:val="21CB236C"/>
    <w:rsid w:val="22E43154"/>
    <w:rsid w:val="2489657E"/>
    <w:rsid w:val="24B27142"/>
    <w:rsid w:val="24E7219B"/>
    <w:rsid w:val="251A5E6D"/>
    <w:rsid w:val="25761848"/>
    <w:rsid w:val="261B7921"/>
    <w:rsid w:val="264755DA"/>
    <w:rsid w:val="26F9200B"/>
    <w:rsid w:val="270A498F"/>
    <w:rsid w:val="278F5BF6"/>
    <w:rsid w:val="27A243EC"/>
    <w:rsid w:val="27B4797D"/>
    <w:rsid w:val="2859111F"/>
    <w:rsid w:val="28B37238"/>
    <w:rsid w:val="28E16914"/>
    <w:rsid w:val="29BE15E9"/>
    <w:rsid w:val="2A423861"/>
    <w:rsid w:val="2A5C5AFE"/>
    <w:rsid w:val="2A720D08"/>
    <w:rsid w:val="2AA95190"/>
    <w:rsid w:val="2B2524AF"/>
    <w:rsid w:val="2B312C8E"/>
    <w:rsid w:val="2B7B5CB3"/>
    <w:rsid w:val="2BBF78D5"/>
    <w:rsid w:val="2C622E1D"/>
    <w:rsid w:val="2C7B02A7"/>
    <w:rsid w:val="2C8E7905"/>
    <w:rsid w:val="2CCF40E2"/>
    <w:rsid w:val="2CD53B9A"/>
    <w:rsid w:val="2CD77367"/>
    <w:rsid w:val="2D2626A0"/>
    <w:rsid w:val="2DE262D6"/>
    <w:rsid w:val="2E1378EE"/>
    <w:rsid w:val="2EF7039C"/>
    <w:rsid w:val="2F2D6FB5"/>
    <w:rsid w:val="2F6B4AD8"/>
    <w:rsid w:val="2FEC0E0A"/>
    <w:rsid w:val="302A3C11"/>
    <w:rsid w:val="30797214"/>
    <w:rsid w:val="30D10F27"/>
    <w:rsid w:val="30EA07CC"/>
    <w:rsid w:val="313E5C07"/>
    <w:rsid w:val="31903FB7"/>
    <w:rsid w:val="31C0661C"/>
    <w:rsid w:val="325524D0"/>
    <w:rsid w:val="325A0517"/>
    <w:rsid w:val="32EB188E"/>
    <w:rsid w:val="33A05842"/>
    <w:rsid w:val="33B80305"/>
    <w:rsid w:val="33E62FE3"/>
    <w:rsid w:val="340919EE"/>
    <w:rsid w:val="3442486C"/>
    <w:rsid w:val="34D423BC"/>
    <w:rsid w:val="350E5A19"/>
    <w:rsid w:val="35130D79"/>
    <w:rsid w:val="35284C04"/>
    <w:rsid w:val="35523A2F"/>
    <w:rsid w:val="35734034"/>
    <w:rsid w:val="35EF1F5F"/>
    <w:rsid w:val="364C0923"/>
    <w:rsid w:val="36FA437E"/>
    <w:rsid w:val="373B350A"/>
    <w:rsid w:val="3783091D"/>
    <w:rsid w:val="37A7315E"/>
    <w:rsid w:val="38072E43"/>
    <w:rsid w:val="3885411B"/>
    <w:rsid w:val="38F44DFD"/>
    <w:rsid w:val="39273424"/>
    <w:rsid w:val="39817F30"/>
    <w:rsid w:val="3A733271"/>
    <w:rsid w:val="3AC73557"/>
    <w:rsid w:val="3AE8373F"/>
    <w:rsid w:val="3AF712CC"/>
    <w:rsid w:val="3B170BE2"/>
    <w:rsid w:val="3B66696F"/>
    <w:rsid w:val="3B835876"/>
    <w:rsid w:val="3BCD47A7"/>
    <w:rsid w:val="3BFA4E20"/>
    <w:rsid w:val="3C402568"/>
    <w:rsid w:val="3E526AD0"/>
    <w:rsid w:val="3E5C7080"/>
    <w:rsid w:val="3FBC4A1D"/>
    <w:rsid w:val="40212FAA"/>
    <w:rsid w:val="41517290"/>
    <w:rsid w:val="415747BE"/>
    <w:rsid w:val="41BA2786"/>
    <w:rsid w:val="42861B49"/>
    <w:rsid w:val="42C6151D"/>
    <w:rsid w:val="43821181"/>
    <w:rsid w:val="43CC0E50"/>
    <w:rsid w:val="43D931BA"/>
    <w:rsid w:val="43F54889"/>
    <w:rsid w:val="4414020A"/>
    <w:rsid w:val="44B50487"/>
    <w:rsid w:val="44EE629A"/>
    <w:rsid w:val="4517434D"/>
    <w:rsid w:val="45290F66"/>
    <w:rsid w:val="45413DFD"/>
    <w:rsid w:val="46F224F1"/>
    <w:rsid w:val="470D5B9F"/>
    <w:rsid w:val="474A22AA"/>
    <w:rsid w:val="47E524E0"/>
    <w:rsid w:val="4860600B"/>
    <w:rsid w:val="4873716A"/>
    <w:rsid w:val="48B122FB"/>
    <w:rsid w:val="495906E1"/>
    <w:rsid w:val="49624874"/>
    <w:rsid w:val="496C7652"/>
    <w:rsid w:val="49FD6C71"/>
    <w:rsid w:val="4A0842C1"/>
    <w:rsid w:val="4AD72DEE"/>
    <w:rsid w:val="4AE239CC"/>
    <w:rsid w:val="4B7A2929"/>
    <w:rsid w:val="4BB16EEF"/>
    <w:rsid w:val="4BB308C1"/>
    <w:rsid w:val="4D235647"/>
    <w:rsid w:val="4D761E2D"/>
    <w:rsid w:val="4DBA440F"/>
    <w:rsid w:val="4DD93651"/>
    <w:rsid w:val="4E1C41B2"/>
    <w:rsid w:val="4E9563FB"/>
    <w:rsid w:val="4F92297F"/>
    <w:rsid w:val="4FE9329C"/>
    <w:rsid w:val="50255A1F"/>
    <w:rsid w:val="50393156"/>
    <w:rsid w:val="50D531EC"/>
    <w:rsid w:val="51267CC7"/>
    <w:rsid w:val="513545B7"/>
    <w:rsid w:val="51C21231"/>
    <w:rsid w:val="523A7692"/>
    <w:rsid w:val="5295690B"/>
    <w:rsid w:val="52DB4C0C"/>
    <w:rsid w:val="52ED4D9B"/>
    <w:rsid w:val="530C1269"/>
    <w:rsid w:val="53114AD1"/>
    <w:rsid w:val="534A4FB9"/>
    <w:rsid w:val="536B2F01"/>
    <w:rsid w:val="53C52D94"/>
    <w:rsid w:val="54326E8A"/>
    <w:rsid w:val="54353276"/>
    <w:rsid w:val="548062A4"/>
    <w:rsid w:val="553706EB"/>
    <w:rsid w:val="5562296B"/>
    <w:rsid w:val="55C776C9"/>
    <w:rsid w:val="55CC2437"/>
    <w:rsid w:val="562F41C2"/>
    <w:rsid w:val="56B15C42"/>
    <w:rsid w:val="570606C5"/>
    <w:rsid w:val="57AD12BC"/>
    <w:rsid w:val="580E7C59"/>
    <w:rsid w:val="58C70A30"/>
    <w:rsid w:val="591B0458"/>
    <w:rsid w:val="5949510A"/>
    <w:rsid w:val="59495621"/>
    <w:rsid w:val="599124C8"/>
    <w:rsid w:val="5A061CF3"/>
    <w:rsid w:val="5AE20ED1"/>
    <w:rsid w:val="5B61236E"/>
    <w:rsid w:val="5BEF3A8F"/>
    <w:rsid w:val="5C0963CE"/>
    <w:rsid w:val="5C261656"/>
    <w:rsid w:val="5C85148E"/>
    <w:rsid w:val="5CA16EC6"/>
    <w:rsid w:val="5CEB6F53"/>
    <w:rsid w:val="5D221AE7"/>
    <w:rsid w:val="5DCB39AA"/>
    <w:rsid w:val="5DCC6423"/>
    <w:rsid w:val="5E0C782C"/>
    <w:rsid w:val="5E472FDC"/>
    <w:rsid w:val="5E510478"/>
    <w:rsid w:val="5E543AC4"/>
    <w:rsid w:val="5EEB03CB"/>
    <w:rsid w:val="5F0977F9"/>
    <w:rsid w:val="5F8132F0"/>
    <w:rsid w:val="5FC559AE"/>
    <w:rsid w:val="611C17E3"/>
    <w:rsid w:val="611C70C4"/>
    <w:rsid w:val="614330B7"/>
    <w:rsid w:val="61E138C1"/>
    <w:rsid w:val="61EE522D"/>
    <w:rsid w:val="61F640AC"/>
    <w:rsid w:val="62A734E8"/>
    <w:rsid w:val="63273CE2"/>
    <w:rsid w:val="63D3192F"/>
    <w:rsid w:val="642A6415"/>
    <w:rsid w:val="646A0BE9"/>
    <w:rsid w:val="64A84C97"/>
    <w:rsid w:val="65077C97"/>
    <w:rsid w:val="65270184"/>
    <w:rsid w:val="65493C57"/>
    <w:rsid w:val="65736F26"/>
    <w:rsid w:val="65BF14FC"/>
    <w:rsid w:val="65DC06B2"/>
    <w:rsid w:val="66331F5B"/>
    <w:rsid w:val="67463567"/>
    <w:rsid w:val="67696E8F"/>
    <w:rsid w:val="67A506C3"/>
    <w:rsid w:val="67D27072"/>
    <w:rsid w:val="67E567F3"/>
    <w:rsid w:val="686063AA"/>
    <w:rsid w:val="68FF2C52"/>
    <w:rsid w:val="6932738D"/>
    <w:rsid w:val="695D4175"/>
    <w:rsid w:val="69FA1037"/>
    <w:rsid w:val="6A123A14"/>
    <w:rsid w:val="6A334ED5"/>
    <w:rsid w:val="6A771286"/>
    <w:rsid w:val="6A94006A"/>
    <w:rsid w:val="6AA31459"/>
    <w:rsid w:val="6AAF4B97"/>
    <w:rsid w:val="6ACD604F"/>
    <w:rsid w:val="6B184A21"/>
    <w:rsid w:val="6C5A23DB"/>
    <w:rsid w:val="6C8F0A29"/>
    <w:rsid w:val="6C9824B9"/>
    <w:rsid w:val="6CD17894"/>
    <w:rsid w:val="6D0914F3"/>
    <w:rsid w:val="6D565020"/>
    <w:rsid w:val="6D635AD2"/>
    <w:rsid w:val="6DD134BB"/>
    <w:rsid w:val="6E20323A"/>
    <w:rsid w:val="6E71421E"/>
    <w:rsid w:val="6F401113"/>
    <w:rsid w:val="6F47651F"/>
    <w:rsid w:val="6F780080"/>
    <w:rsid w:val="703674CE"/>
    <w:rsid w:val="709A3F00"/>
    <w:rsid w:val="70B623BC"/>
    <w:rsid w:val="712F0AD2"/>
    <w:rsid w:val="71B8286E"/>
    <w:rsid w:val="72B2653C"/>
    <w:rsid w:val="732764FB"/>
    <w:rsid w:val="73946B2F"/>
    <w:rsid w:val="74576EE0"/>
    <w:rsid w:val="748070FC"/>
    <w:rsid w:val="74B8340E"/>
    <w:rsid w:val="74BC1E14"/>
    <w:rsid w:val="75FA729D"/>
    <w:rsid w:val="77025C02"/>
    <w:rsid w:val="771E02F9"/>
    <w:rsid w:val="77A576CA"/>
    <w:rsid w:val="785D67BD"/>
    <w:rsid w:val="78903D77"/>
    <w:rsid w:val="789F5C2E"/>
    <w:rsid w:val="78BE62B2"/>
    <w:rsid w:val="793D02F4"/>
    <w:rsid w:val="79576B39"/>
    <w:rsid w:val="79E24222"/>
    <w:rsid w:val="79E355ED"/>
    <w:rsid w:val="7A022808"/>
    <w:rsid w:val="7A3309A2"/>
    <w:rsid w:val="7AD65B35"/>
    <w:rsid w:val="7B8A47A6"/>
    <w:rsid w:val="7B9F061D"/>
    <w:rsid w:val="7BC95581"/>
    <w:rsid w:val="7BF15DB3"/>
    <w:rsid w:val="7C71090E"/>
    <w:rsid w:val="7C981F04"/>
    <w:rsid w:val="7CD4288D"/>
    <w:rsid w:val="7DEA794F"/>
    <w:rsid w:val="7E2E4C53"/>
    <w:rsid w:val="7E7979E4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3157</Words>
  <Characters>3499</Characters>
  <Lines>1</Lines>
  <Paragraphs>1</Paragraphs>
  <TotalTime>45</TotalTime>
  <ScaleCrop>false</ScaleCrop>
  <LinksUpToDate>false</LinksUpToDate>
  <CharactersWithSpaces>3553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2025-07-07T05:31:20Z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45827169D7154AE0A90F1403ACA71BC6_13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