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第102期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2025年7月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每周资讯|国常会：研究做强国内大循环重点政策举</w:t>
      </w:r>
      <w:bookmarkStart w:id="0" w:name="_GoBack"/>
      <w:bookmarkEnd w:id="0"/>
      <w:r>
        <w:rPr>
          <w:rFonts w:hint="eastAsia"/>
          <w:highlight w:val="none"/>
          <w:lang w:val="en-US" w:eastAsia="zh-CN"/>
        </w:rPr>
        <w:t>措落实工作；7月前两周全国乘用车新能源市场零售同比增长26%；迅捷兴新增投资机器人领域</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国常会：研究做强国内大循环重点政策举措落实工作</w:t>
      </w:r>
    </w:p>
    <w:p w14:paraId="03B6C0F9">
      <w:pPr>
        <w:ind w:firstLine="640" w:firstLineChars="200"/>
        <w:jc w:val="left"/>
        <w:rPr>
          <w:rFonts w:hint="eastAsia"/>
          <w:lang w:val="en-US" w:eastAsia="zh-CN"/>
        </w:rPr>
      </w:pPr>
      <w:r>
        <w:rPr>
          <w:rFonts w:hint="eastAsia"/>
          <w:lang w:val="en-US" w:eastAsia="zh-CN"/>
        </w:rPr>
        <w:t> 7月16日，国务院总理李强主持召开国务院常务会议，研究做强国内大循环重点政策举措落实工作；听取规范新能源汽车产业竞争秩序情况的汇报；听取关于2024年度中央预算执行和其他财政收支审计查出问题初步整改情况的汇报；审议通过《国务院关于修改 &lt;中华人民共和国外国人入境出境管理条例&gt; 的决定（草案）》。(新华社)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今年上半年工业和信息化领域主要经济指标总量和增速稳步提升</w:t>
      </w:r>
    </w:p>
    <w:p w14:paraId="18DA012E">
      <w:pPr>
        <w:ind w:firstLine="640" w:firstLineChars="200"/>
        <w:jc w:val="left"/>
        <w:rPr>
          <w:rFonts w:hint="eastAsia"/>
          <w:lang w:val="en-US" w:eastAsia="zh-CN"/>
        </w:rPr>
      </w:pPr>
      <w:r>
        <w:rPr>
          <w:rFonts w:hint="eastAsia"/>
          <w:lang w:val="en-US" w:eastAsia="zh-CN"/>
        </w:rPr>
        <w:t>7月21日，据经济参考报，最新数据显示，今年上半年工业和信息化领域主要经济指标总量和增速稳步提升。下一步，多项政策举措将筑牢工业经济基本盘、持续培育发展动能。其中，工业和信息化部将实施新一轮钢铁、有色金属、石化、建材等十大重点行业稳增长工作方案；会同相关部门完善支持新型工业化的金融政策，纵深推进产融合作；在政策、人才、资金、市场等方面持续优化企业发展环境。</w:t>
      </w:r>
      <w:r>
        <w:rPr>
          <w:rFonts w:hint="default"/>
          <w:lang w:eastAsia="zh-CN"/>
        </w:rPr>
        <w:t>（</w:t>
      </w:r>
      <w:r>
        <w:rPr>
          <w:rFonts w:hint="eastAsia"/>
          <w:lang w:val="en-US" w:eastAsia="zh-CN"/>
        </w:rPr>
        <w:t>经济参考报</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多部门部署进一步规范新能源汽车产业竞争秩序工作</w:t>
      </w:r>
    </w:p>
    <w:p w14:paraId="4B4041A8">
      <w:pPr>
        <w:ind w:firstLine="640" w:firstLineChars="200"/>
        <w:rPr>
          <w:rFonts w:hint="eastAsia" w:ascii="Times New Roman" w:eastAsia="仿宋"/>
          <w:lang w:val="en-US" w:eastAsia="zh-CN"/>
        </w:rPr>
      </w:pPr>
      <w:r>
        <w:rPr>
          <w:rFonts w:hint="eastAsia"/>
          <w:highlight w:val="none"/>
          <w:lang w:val="en-US" w:eastAsia="zh-CN"/>
        </w:rPr>
        <w:t>7月18日，工信部等四部门部署进一步规范新能源汽车产业竞争秩序工作，要求深入推进产品价格监测、产品一致性监督检查、缩短供应商货款账期等工作。加强行业自律，共同抵制“网络水军”“黑公关”等网络乱象。另外，中央第四指导组开展专题调研座谈，要求切实规范新能源汽车产业竞争秩序。</w:t>
      </w:r>
      <w:r>
        <w:rPr>
          <w:rFonts w:hint="eastAsia" w:ascii="Times New Roman" w:eastAsia="仿宋"/>
          <w:lang w:val="en-US" w:eastAsia="zh-CN"/>
        </w:rPr>
        <w:t>(</w:t>
      </w:r>
      <w:r>
        <w:rPr>
          <w:rFonts w:hint="eastAsia"/>
          <w:lang w:val="en-US" w:eastAsia="zh-CN"/>
        </w:rPr>
        <w:t>新华社</w:t>
      </w:r>
      <w:r>
        <w:rPr>
          <w:rFonts w:hint="eastAsia" w:ascii="Times New Roman" w:eastAsia="仿宋"/>
          <w:lang w:val="en-US" w:eastAsia="zh-CN"/>
        </w:rPr>
        <w:t>)</w:t>
      </w:r>
    </w:p>
    <w:p w14:paraId="15CE4CB6">
      <w:pPr>
        <w:ind w:firstLine="640" w:firstLineChars="200"/>
        <w:rPr>
          <w:rFonts w:hint="eastAsia" w:ascii="Times New Roman" w:eastAsia="仿宋"/>
          <w:lang w:val="en-US" w:eastAsia="zh-CN"/>
        </w:rPr>
      </w:pPr>
    </w:p>
    <w:p w14:paraId="2999416D">
      <w:pPr>
        <w:jc w:val="center"/>
        <w:rPr>
          <w:rFonts w:hint="default" w:ascii="黑体" w:hAnsi="黑体" w:eastAsia="黑体" w:cs="黑体"/>
          <w:b/>
          <w:bCs/>
          <w:lang w:val="en-US" w:eastAsia="zh-CN"/>
        </w:rPr>
      </w:pPr>
      <w:r>
        <w:rPr>
          <w:rFonts w:hint="default" w:ascii="黑体" w:hAnsi="黑体" w:eastAsia="黑体" w:cs="黑体"/>
          <w:b/>
          <w:bCs/>
          <w:lang w:val="en-US" w:eastAsia="zh-CN"/>
        </w:rPr>
        <w:t>全国政协召开2025年上半年宏观经济形势分析座谈会</w:t>
      </w:r>
    </w:p>
    <w:p w14:paraId="34B3C844">
      <w:pPr>
        <w:ind w:firstLine="640" w:firstLineChars="200"/>
        <w:rPr>
          <w:rFonts w:hint="eastAsia" w:ascii="Times New Roman" w:eastAsia="仿宋"/>
          <w:lang w:val="en-US" w:eastAsia="zh-CN"/>
        </w:rPr>
      </w:pPr>
      <w:r>
        <w:rPr>
          <w:rFonts w:hint="eastAsia"/>
          <w:highlight w:val="none"/>
          <w:lang w:val="en-US" w:eastAsia="zh-CN"/>
        </w:rPr>
        <w:t>7月18日，全国政协召开2025年上半年宏观经济形势分析座谈会。部分全国政协委员围绕稳定和活跃资本市场、推动民营企业科技创新、稳住外贸基本盘、建立人工智能发展优势、释放服务消费潜力、促进乡村特色产业发展、实施城市更新行动、助力全国统一大市场建设等协商建言。</w:t>
      </w:r>
      <w:r>
        <w:rPr>
          <w:rFonts w:hint="eastAsia" w:ascii="Times New Roman" w:eastAsia="仿宋"/>
          <w:lang w:val="en-US" w:eastAsia="zh-CN"/>
        </w:rPr>
        <w:t>(财联社</w:t>
      </w:r>
      <w:r>
        <w:rPr>
          <w:rFonts w:hint="eastAsia"/>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乘联分会：7月前两周全国乘用车新能源市场零售同比增长26%</w:t>
      </w:r>
    </w:p>
    <w:p w14:paraId="4420A97B">
      <w:pPr>
        <w:ind w:firstLine="640" w:firstLineChars="200"/>
        <w:rPr>
          <w:rFonts w:hint="eastAsia"/>
          <w:lang w:val="en-US" w:eastAsia="zh-CN"/>
        </w:rPr>
      </w:pPr>
      <w:r>
        <w:rPr>
          <w:rFonts w:hint="eastAsia"/>
          <w:lang w:val="en-US" w:eastAsia="zh-CN"/>
        </w:rPr>
        <w:t>7月16日，中国汽车流通协会乘用车市场信息联席分会发布的数据显示，7月1日至13日，全国乘用车市场零售57.1万辆，同比增长7%，较上月同期下降5%，今年以来累计零售1147.3万辆，同比增长11%。新能源市场方面，7月1日—13日，全国乘用车新能源市场零售33.2万辆，同比增长26%，较上月同期下降4%，新能源市场零售渗透率58.1%，今年以来累计零售580.1万辆，同比增长33%。(证券时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今年上半年我国GDP同比增长5.3%</w:t>
      </w:r>
    </w:p>
    <w:p w14:paraId="18D1DFF3">
      <w:pPr>
        <w:ind w:firstLine="640" w:firstLineChars="200"/>
        <w:rPr>
          <w:rFonts w:hint="eastAsia"/>
          <w:highlight w:val="none"/>
          <w:lang w:val="en-US" w:eastAsia="zh-CN"/>
        </w:rPr>
      </w:pPr>
      <w:r>
        <w:rPr>
          <w:rFonts w:hint="eastAsia"/>
          <w:highlight w:val="none"/>
          <w:lang w:val="en-US" w:eastAsia="zh-CN"/>
        </w:rPr>
        <w:t>7月15日，我国经济半年度“成绩单”公布，上半年GDP为66.05万亿元，同比增长5.3%。分季度看，一季度GDP同比增长5.4%，二季度增长5.2%。上半年固定资产投资增长2.8%，其中房地产开发投资下降11.2%。6月份，规模以上工业增加值同比增长6.8%，社会消费品零售总额增长4.8%。国家统计局副局长盛来运指出，中国的政策“工具箱”丰富，也在加强政策储备，会根据市场变化适时推出。（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海关总署：上半年我国货物贸易进出口21.79万亿元，同比增长2.9%</w:t>
      </w:r>
    </w:p>
    <w:p w14:paraId="312196D4">
      <w:pPr>
        <w:jc w:val="left"/>
        <w:rPr>
          <w:rFonts w:hint="eastAsia" w:ascii="Times New Roman" w:eastAsia="仿宋"/>
          <w:highlight w:val="none"/>
          <w:lang w:val="en-US" w:eastAsia="zh-CN"/>
        </w:rPr>
      </w:pPr>
      <w:r>
        <w:rPr>
          <w:rFonts w:hint="eastAsia"/>
          <w:highlight w:val="none"/>
          <w:lang w:val="en-US" w:eastAsia="zh-CN"/>
        </w:rPr>
        <w:t xml:space="preserve">   7月14日，海关总署发布数据显示，以人民币计，今年上半年，我国货物贸易进出口总值21.79万亿元，创历史同期新高，同比增长2.9%。其中，出口增长7.2%，进口增长2.3%。6月份，我国进出口整体、出口、进口同比全部实现增长，且增速都在回升。6月稀土出口7742.2吨，1-6月累计出口32569.2吨，同比增长11.9%。（北京市人民政府）</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人工智能公司MiniMax（上海稀宇科技）已秘密提交在港IPO申请</w:t>
      </w:r>
    </w:p>
    <w:p w14:paraId="30C62000">
      <w:pPr>
        <w:ind w:firstLine="640" w:firstLineChars="200"/>
        <w:rPr>
          <w:rFonts w:hint="default"/>
          <w:lang w:val="en-US" w:eastAsia="zh-CN"/>
        </w:rPr>
      </w:pPr>
      <w:r>
        <w:rPr>
          <w:rFonts w:hint="eastAsia"/>
          <w:lang w:val="en-US" w:eastAsia="zh-CN"/>
        </w:rPr>
        <w:t>7月16日，MiniMax已秘密申请在香港进行首次公开募股（IPO）。这标志著中国生成式人工智能（AI）初创公司竞相寻求公开上市的序幕拉开。一位知情人士称，总部位于上海的MiniMax在最近一轮融资后估值约为40亿美元，其目标是最快在今年上市。（界面新闻）</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AMD宣布将重启对华出口AI芯片</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7月15日，美国超微半导体公司 (AMD)表示，美国商务部将对该公司的AI芯片MI308许可证重新进行审查，以便向中国重启该芯片的出口。AMD股价一度上涨超过7%。今年4月，AMD曾表示，MI308对华出口管制导致公司损失8亿美元。7月15日早些时候，正在中国访问的英伟达CEO黄仁勋也表示，英伟达的H20芯片将获得美国的许可，向中国重新启动销售。英伟达的H20芯片和AMD的MI308芯片均针对中国市场开发，以应对美国的出口管制规定。</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亚马逊考虑对Anthropic追加“数十亿美元”投资，深化AI战略联盟</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7月15日，特斯拉正式进军印度电动车市场，Model Y在当地定价约69,770美元，成为该车型在全球主要市场中的最高售价。据媒体报道，特斯拉在孟买开设了首家展厅，预计第三季度开始交付。根据特斯拉公布的价格，Model Y后驱版本售价600万卢比（约7万美元），长续航后驱版本售价680万卢比。相比之下，该车型在美国起售价44,990美元，在中国为263,500元人民币（约36,700美元），在德国为45,970欧元（约53,700美元）。报道指出，这一高定价策略反映了特斯拉在印度市场面临的关税挑战，进口车辆需承担约70%的关税和税费。</w:t>
      </w:r>
      <w:r>
        <w:rPr>
          <w:rFonts w:hint="eastAsia" w:ascii="Times New Roman" w:eastAsia="仿宋"/>
          <w:highlight w:val="none"/>
          <w:lang w:val="en-US" w:eastAsia="zh-CN"/>
        </w:rPr>
        <w:t>（</w:t>
      </w:r>
      <w:r>
        <w:rPr>
          <w:rFonts w:hint="eastAsia"/>
          <w:highlight w:val="none"/>
          <w:lang w:val="en-US" w:eastAsia="zh-CN"/>
        </w:rPr>
        <w:t>华尔街日报</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谷歌未来两年将在美投资250亿美元，建设数据中心和AI基础设施</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7月15日，</w:t>
      </w:r>
      <w:r>
        <w:rPr>
          <w:rFonts w:hint="eastAsia" w:ascii="Times New Roman" w:eastAsia="仿宋"/>
          <w:highlight w:val="none"/>
          <w:lang w:val="en-US" w:eastAsia="zh-CN"/>
        </w:rPr>
        <w:t>谷歌公司表示，未来两年将在美国最大电网覆盖的多个州投资250亿美元，用于数据中心和人工智能基础设施建设</w:t>
      </w:r>
      <w:r>
        <w:rPr>
          <w:rFonts w:hint="eastAsia"/>
          <w:highlight w:val="none"/>
          <w:lang w:val="en-US" w:eastAsia="zh-CN"/>
        </w:rPr>
        <w:t>。</w:t>
      </w:r>
      <w:r>
        <w:rPr>
          <w:rFonts w:hint="eastAsia" w:ascii="Times New Roman" w:eastAsia="仿宋"/>
          <w:highlight w:val="none"/>
          <w:lang w:val="en-US" w:eastAsia="zh-CN"/>
        </w:rPr>
        <w:t>谷歌称还将斥资30亿美元对宾夕法尼亚州的两座水电站进行现代化改造，以满足该地区数据中心和人工智能领域不断增长的电力需求</w:t>
      </w:r>
      <w:r>
        <w:rPr>
          <w:rFonts w:hint="eastAsia"/>
          <w:highlight w:val="none"/>
          <w:lang w:val="en-US" w:eastAsia="zh-CN"/>
        </w:rPr>
        <w:t>。</w:t>
      </w:r>
      <w:r>
        <w:rPr>
          <w:rFonts w:hint="eastAsia" w:ascii="Times New Roman" w:eastAsia="仿宋"/>
          <w:highlight w:val="none"/>
          <w:lang w:val="en-US" w:eastAsia="zh-CN"/>
        </w:rPr>
        <w:t>对宾夕法尼亚州水电站的翻新是谷歌与布鲁克菲尔德资产管理公司签署的一项更广泛框架协议的一部分，根据该协议，谷歌将在美国采购3000兆瓦的水电。</w:t>
      </w:r>
      <w:r>
        <w:rPr>
          <w:rFonts w:hint="eastAsia"/>
          <w:highlight w:val="none"/>
          <w:lang w:val="en-US" w:eastAsia="zh-CN"/>
        </w:rPr>
        <w:t>（证券时报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金安国纪：子公司安徽金瑞电子玻纤电子级玻纤布产能利用率处满负荷生产状态</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7月18日，金安国纪在投资者互动平台回答称，子公司安徽金瑞电子玻纤有限公司生产的电子级玻纤布主要为满足公司生产覆铜板产品自用，目前产能利用率处于满负荷生产状态。子公司安徽金瑞电子玻纤有限公司年产6000万米电子级玻纤布扩建项目已经投产（详见公司于2025年4月29日披露的《关于安徽金瑞电子级玻纤布扩建项目的进展暨建设完成公告》），目前总产能1.4亿米/年。（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迅捷兴新增投资深圳市迅捷兴机器人有限公司</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7月3日，证券之星消息，根据天眼查APP显示，迅捷兴新增一起对外投资事件，被投资公司为深圳市迅捷兴机器人有限公司，法定代表人马卓，投资占比为100%。该公司从事计算机、通信和其他电子设备制造业，注册资本为1000万人民币。通过天眼查大数据分析，深圳市迅捷兴科技股份有限公司共对外投资了6家企业，参与招投标项目5次；财产线索方面有商标信息17条，专利信息243条，著作权信息43条；此外企业还拥有行政许可25个。据2024年报数据，迅捷兴商誉187.9万元，同比未变化。长期股权投资313.89万元。</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金安国纪三次下调子公司股权出售挂牌价，已降至5300万元</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7月18日，金安国纪集团股份有限公司发布公告称，为推进标的股权转让事宜，公司于当日召开第六届董事会第八次会议审议通过了《关于调整出售控股子公司股权挂牌价格的议案》，同意将标的股权转让之挂牌价格调整为不低于5300万元，重新提交上海联合产权交易所公开挂牌寻觅受让方。根据公告，此次出售的是金安国纪所持控股子公司上海金板科技有限公司60%的股权。金安国纪已第三次下调挂牌价至不低于5300万元。（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铜冠铜箔：公司及全资子公司获得政府补助</w:t>
      </w:r>
    </w:p>
    <w:p w14:paraId="78C060F5">
      <w:pPr>
        <w:ind w:firstLine="640" w:firstLineChars="200"/>
        <w:rPr>
          <w:rFonts w:hint="eastAsia" w:ascii="Times New Roman" w:eastAsia="仿宋"/>
          <w:highlight w:val="none"/>
          <w:lang w:val="en-US" w:eastAsia="zh-CN"/>
        </w:rPr>
      </w:pPr>
      <w:r>
        <w:rPr>
          <w:rFonts w:hint="eastAsia"/>
          <w:highlight w:val="none"/>
          <w:lang w:val="en-US" w:eastAsia="zh-CN"/>
        </w:rPr>
        <w:t>7月19日，铜冠铜箔发布公告称，公司及全资子公司铜陵铜冠电子铜箔有限公司、合肥铜冠电子铜箔有限公司于近期获得政府补助资金446.09万元、705.83万元、668.50万元、零星补助13.12万元。补助金额分别占公司最近一个会计年度经审计的归属于上市公司股东的净利润绝对值的2.85%、4.51%、4.28%、0.08%。该项政府补助与公司日常经营活动相关，不具备可持续性。2024年1至12月份，铜冠铜箔的营业收入构成为：制造业占比100.0%。截至发稿，铜冠铜箔市值为178亿元。</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3EA3E34B">
      <w:pPr>
        <w:rPr>
          <w:rFonts w:hint="eastAsia" w:ascii="Times New Roman" w:eastAsia="仿宋"/>
          <w:highlight w:val="none"/>
          <w:lang w:val="en-US" w:eastAsia="zh-CN"/>
        </w:rPr>
      </w:pPr>
    </w:p>
    <w:p w14:paraId="132EE47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博敏电子终止收购奔创电子股权事项</w:t>
      </w:r>
    </w:p>
    <w:p w14:paraId="45FABF7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7月</w:t>
      </w:r>
      <w:r>
        <w:rPr>
          <w:rFonts w:hint="eastAsia"/>
          <w:highlight w:val="none"/>
          <w:lang w:val="en-US" w:eastAsia="zh-CN"/>
        </w:rPr>
        <w:t>13</w:t>
      </w:r>
      <w:r>
        <w:rPr>
          <w:rFonts w:hint="eastAsia" w:ascii="Times New Roman" w:eastAsia="仿宋"/>
          <w:highlight w:val="none"/>
          <w:lang w:val="en-US" w:eastAsia="zh-CN"/>
        </w:rPr>
        <w:t>日</w:t>
      </w:r>
      <w:r>
        <w:rPr>
          <w:rFonts w:hint="eastAsia"/>
          <w:highlight w:val="none"/>
          <w:lang w:val="en-US" w:eastAsia="zh-CN"/>
        </w:rPr>
        <w:t>，据博敏电子披露公告称，公司终止收购梅州市奔创电子有限公司股权事项。博敏电子表示，公司与奔创电子之股东熊冬梅于2024年9月20日签署《关于梅州市奔创电子有限公司的收购框架协议》，公司拟以现金不超过2.5亿元收购奔创电子86.8535%股权的事项达成意向约定。但鉴于目前双方的实际情况、奔创电子未来发展预期，并结合当前的市场环境，双方未能就主要交易条款达成共识，无法签署正式的《股权转让协议》。双方于2025年7月11日签署《博敏电子股份有限公司与熊冬梅关于梅州市奔创电子有限公司股权收购意向的终止协议》，终止本次股权转让交易事项。</w:t>
      </w:r>
      <w:r>
        <w:rPr>
          <w:rFonts w:hint="eastAsia" w:ascii="Times New Roman" w:eastAsia="仿宋"/>
          <w:highlight w:val="none"/>
          <w:lang w:val="en-US" w:eastAsia="zh-CN"/>
        </w:rPr>
        <w:t>（WIND）</w:t>
      </w:r>
    </w:p>
    <w:p w14:paraId="44A2AB7A">
      <w:pPr>
        <w:ind w:firstLine="640" w:firstLineChars="200"/>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7876D25"/>
    <w:rsid w:val="182267CA"/>
    <w:rsid w:val="18A46E1B"/>
    <w:rsid w:val="199B6470"/>
    <w:rsid w:val="1A622AE9"/>
    <w:rsid w:val="1A8C739D"/>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A31459"/>
    <w:rsid w:val="6AAF4B97"/>
    <w:rsid w:val="6ACD604F"/>
    <w:rsid w:val="6B184A21"/>
    <w:rsid w:val="6C5A23DB"/>
    <w:rsid w:val="6C8F0A29"/>
    <w:rsid w:val="6C9824B9"/>
    <w:rsid w:val="6CD17894"/>
    <w:rsid w:val="6D0914F3"/>
    <w:rsid w:val="6D565020"/>
    <w:rsid w:val="6D635AD2"/>
    <w:rsid w:val="6DD134BB"/>
    <w:rsid w:val="6E20323A"/>
    <w:rsid w:val="6E31210E"/>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3806</Words>
  <Characters>4215</Characters>
  <Lines>1</Lines>
  <Paragraphs>1</Paragraphs>
  <TotalTime>26</TotalTime>
  <ScaleCrop>false</ScaleCrop>
  <LinksUpToDate>false</LinksUpToDate>
  <CharactersWithSpaces>4284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2025-07-21T06:56:23Z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4D474B25ABF94FCDAAFA481095FD300D_13</vt:lpwstr>
  </property>
  <property fmtid="{D5CDD505-2E9C-101B-9397-08002B2CF9AE}" pid="4" name="KSOTemplateDocerSaveRecord">
    <vt:lpwstr>eyJoZGlkIjoiZWFlNjQ3NDIwZDEwN2RkZjI5ZmVhOGI2NjVlYTBkMTciLCJ1c2VySWQiOiIxMzgyMTM1ODU2In0=</vt:lpwstr>
  </property>
</Properties>
</file>