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第116期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2025年11月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每周资讯|六部门：增强消费品供需适配性进一步促进消费；本川智能拟投建珠海泰国生产基地；超颖电子投建泰国电路板扩产项目</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中国对外投资稳居全球第三，推动人民币国际化进程</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11月2</w:t>
      </w:r>
      <w:r>
        <w:rPr>
          <w:rFonts w:hint="eastAsia"/>
          <w:highlight w:val="none"/>
          <w:lang w:val="en-US" w:eastAsia="zh-CN"/>
        </w:rPr>
        <w:t>5</w:t>
      </w:r>
      <w:r>
        <w:rPr>
          <w:rFonts w:hint="eastAsia" w:ascii="Times New Roman" w:eastAsia="仿宋"/>
          <w:highlight w:val="none"/>
          <w:lang w:val="en-US" w:eastAsia="zh-CN"/>
        </w:rPr>
        <w:t>日，今年前三季度，我国全行业对外直接投资9236.8亿元人民币，同比增长4.4%。在外部环境复杂多变的背景下，中国对外直接投资逆势增长，投资规模稳居全球第三。中国企业出海建厂，足迹遍及全球151个国家和地区。截至2024年底，中国在境外设立企业超过5万家，年均解决超过200万个就业岗位，中国投资对世界经济的贡献日益凸显。</w:t>
      </w:r>
      <w:r>
        <w:rPr>
          <w:rFonts w:hint="eastAsia" w:ascii="Times New Roman" w:eastAsia="仿宋"/>
          <w:lang w:val="en-US" w:eastAsia="zh-CN"/>
        </w:rPr>
        <w:t>(</w:t>
      </w:r>
      <w:r>
        <w:rPr>
          <w:rFonts w:hint="eastAsia"/>
          <w:lang w:val="en-US" w:eastAsia="zh-CN"/>
        </w:rPr>
        <w:t>央视财经</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日本未来两年将对Rapidus公司投入约1.1万亿日元</w:t>
      </w:r>
    </w:p>
    <w:p w14:paraId="03B6C0F9">
      <w:pPr>
        <w:ind w:firstLine="640" w:firstLineChars="200"/>
        <w:jc w:val="left"/>
        <w:rPr>
          <w:rFonts w:hint="eastAsia"/>
          <w:lang w:val="en-US" w:eastAsia="zh-CN"/>
        </w:rPr>
      </w:pPr>
      <w:r>
        <w:rPr>
          <w:rFonts w:hint="eastAsia"/>
          <w:lang w:val="en-US" w:eastAsia="zh-CN"/>
        </w:rPr>
        <w:t>11月26日，据媒体报道，日本未来两年将对Rapidus公司投入约1.1万亿日元（70亿美元，约合人民币500亿元），协助该企业进行先进半导体生产计划。日本经济产业大臣于11月25日在记者会上表述，必须果断地进军尖端半导体市场，这是危机管理投资中的旗舰项目。根据日本经济产业省计划，在2026年4月开始的财政年度，将拨款约6,300亿日圆用于支付，1,500亿日圆用于投资，2027年度再拨款3,000亿日圆用于支付。(日本经济网)</w:t>
      </w:r>
    </w:p>
    <w:p w14:paraId="4BE1B00C">
      <w:pPr>
        <w:pStyle w:val="3"/>
        <w:bidi w:val="0"/>
        <w:jc w:val="center"/>
        <w:rPr>
          <w:rFonts w:hint="default"/>
          <w:lang w:val="en-US" w:eastAsia="zh-CN"/>
        </w:rPr>
      </w:pPr>
      <w:r>
        <w:rPr>
          <w:rFonts w:hint="eastAsia"/>
          <w:lang w:val="en-US" w:eastAsia="zh-CN"/>
        </w:rPr>
        <w:t>六部门联合发文：增强消费品供需适配性进一步促进消费</w:t>
      </w:r>
    </w:p>
    <w:p w14:paraId="20589A66">
      <w:pPr>
        <w:ind w:firstLine="640" w:firstLineChars="200"/>
        <w:rPr>
          <w:rFonts w:hint="eastAsia"/>
          <w:lang w:val="en-US" w:eastAsia="zh-CN"/>
        </w:rPr>
      </w:pPr>
      <w:r>
        <w:rPr>
          <w:rFonts w:hint="eastAsia" w:ascii="Times New Roman" w:eastAsia="仿宋"/>
          <w:lang w:val="en-US" w:eastAsia="zh-CN"/>
        </w:rPr>
        <w:t>11月26日，工业和信息化部、国家发展改革委、商务部、文化和旅游部、中国人民银行和市场监管总局联合印发《关于增强消费品供需适配性进一步促进消费的实施方案》（下简称《方案》)，以消费升级引领产业升级，以优质供给更好满足多元需求，实现供需更高水平动态平衡</w:t>
      </w:r>
      <w:r>
        <w:rPr>
          <w:rFonts w:hint="eastAsia"/>
          <w:lang w:val="en-US" w:eastAsia="zh-CN"/>
        </w:rPr>
        <w:t>。</w:t>
      </w:r>
      <w:r>
        <w:rPr>
          <w:rFonts w:hint="eastAsia" w:ascii="Times New Roman" w:eastAsia="仿宋"/>
          <w:lang w:val="en-US" w:eastAsia="zh-CN"/>
        </w:rPr>
        <w:t>(新华社)</w:t>
      </w:r>
    </w:p>
    <w:p w14:paraId="59DF9878">
      <w:pPr>
        <w:ind w:firstLine="640" w:firstLineChars="200"/>
        <w:jc w:val="left"/>
        <w:rPr>
          <w:rFonts w:hint="eastAsia"/>
          <w:lang w:val="en-US" w:eastAsia="zh-CN"/>
        </w:rPr>
      </w:pPr>
    </w:p>
    <w:p w14:paraId="31D4B605">
      <w:pPr>
        <w:jc w:val="left"/>
        <w:rPr>
          <w:rFonts w:hint="eastAsia"/>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30C907F2">
      <w:pPr>
        <w:jc w:val="center"/>
        <w:rPr>
          <w:rFonts w:hint="default" w:ascii="黑体" w:hAnsi="黑体" w:eastAsia="黑体" w:cs="黑体"/>
          <w:b/>
          <w:bCs/>
          <w:lang w:val="en-US" w:eastAsia="zh-CN"/>
        </w:rPr>
      </w:pPr>
      <w:r>
        <w:rPr>
          <w:rFonts w:hint="default" w:ascii="黑体" w:hAnsi="黑体" w:eastAsia="黑体" w:cs="黑体"/>
          <w:b/>
          <w:bCs/>
          <w:lang w:val="en-US" w:eastAsia="zh-CN"/>
        </w:rPr>
        <w:t>2025年10月欧洲汽车市场概述：新能源大幅增长</w:t>
      </w:r>
    </w:p>
    <w:p w14:paraId="09EFFEA9">
      <w:pPr>
        <w:ind w:firstLine="640" w:firstLineChars="200"/>
        <w:rPr>
          <w:rFonts w:hint="eastAsia" w:ascii="Times New Roman" w:eastAsia="仿宋"/>
          <w:lang w:val="en-US" w:eastAsia="zh-CN"/>
        </w:rPr>
      </w:pPr>
      <w:r>
        <w:rPr>
          <w:rFonts w:hint="eastAsia"/>
          <w:highlight w:val="none"/>
          <w:lang w:val="en-US" w:eastAsia="zh-CN"/>
        </w:rPr>
        <w:t>11月25日，欧洲汽车制造商协会（ACEA）发布数据，10月欧洲新车销量同比增长4.9%，其中电动汽车注册量超过汽油车与柴油车。ACEA表示，尽管近期呈现积极态势，但整体销量仍远低于疫情前水平。该协会将进一步补充道：“今年以来，纯电动汽车的市场份额已达到 16.4%，但在当前转型阶段，这一增速仍未达到所需水平。”</w:t>
      </w:r>
      <w:r>
        <w:rPr>
          <w:rFonts w:hint="eastAsia" w:ascii="Times New Roman" w:eastAsia="仿宋"/>
          <w:lang w:val="en-US" w:eastAsia="zh-CN"/>
        </w:rPr>
        <w:t>(</w:t>
      </w:r>
      <w:r>
        <w:rPr>
          <w:rFonts w:hint="eastAsia"/>
          <w:lang w:val="en-US" w:eastAsia="zh-CN"/>
        </w:rPr>
        <w:t xml:space="preserve">ACEA </w:t>
      </w:r>
      <w:r>
        <w:rPr>
          <w:rFonts w:hint="eastAsia" w:ascii="Times New Roman" w:eastAsia="仿宋"/>
          <w:lang w:val="en-US" w:eastAsia="zh-CN"/>
        </w:rPr>
        <w:t>)</w:t>
      </w:r>
    </w:p>
    <w:p w14:paraId="22774C64">
      <w:pPr>
        <w:rPr>
          <w:rFonts w:hint="eastAsia" w:ascii="Times New Roman" w:eastAsia="仿宋"/>
          <w:lang w:val="en-US" w:eastAsia="zh-CN"/>
        </w:rPr>
      </w:pPr>
    </w:p>
    <w:p w14:paraId="07896B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苹果2025年iPhone出货量将增长10%</w:t>
      </w:r>
    </w:p>
    <w:p w14:paraId="3C0F113A">
      <w:pPr>
        <w:ind w:firstLine="640" w:firstLineChars="200"/>
        <w:jc w:val="left"/>
        <w:rPr>
          <w:rFonts w:hint="eastAsia" w:ascii="Times New Roman" w:eastAsia="仿宋"/>
          <w:lang w:val="en-US" w:eastAsia="zh-CN"/>
        </w:rPr>
      </w:pPr>
      <w:r>
        <w:rPr>
          <w:rFonts w:hint="eastAsia" w:ascii="Times New Roman" w:eastAsia="仿宋"/>
          <w:lang w:val="en-US" w:eastAsia="zh-CN"/>
        </w:rPr>
        <w:t>11月</w:t>
      </w:r>
      <w:r>
        <w:rPr>
          <w:rFonts w:hint="eastAsia"/>
          <w:lang w:val="en-US" w:eastAsia="zh-CN"/>
        </w:rPr>
        <w:t>25</w:t>
      </w:r>
      <w:r>
        <w:rPr>
          <w:rFonts w:hint="eastAsia" w:ascii="Times New Roman" w:eastAsia="仿宋"/>
          <w:lang w:val="en-US" w:eastAsia="zh-CN"/>
        </w:rPr>
        <w:t>日，据Counterpoint Research称，得益于新款iPhone系列的成功发布以及消费者升级设备的热潮，苹果公司将在十多年来首次重新夺回全球最大智能手机制造商的桂冠。苹果2025年iPhone出货量将增长10%，而三星增速仅为4.6%。届时，苹果将占据全球智能手机市场19.4%的份额，该市场整体预计增长3.3%，这将是苹果自2011年以来首次登顶。</w:t>
      </w:r>
      <w:r>
        <w:rPr>
          <w:rFonts w:hint="default"/>
          <w:lang w:eastAsia="zh-CN"/>
        </w:rPr>
        <w:t>（</w:t>
      </w:r>
      <w:r>
        <w:rPr>
          <w:rFonts w:hint="eastAsia" w:ascii="Times New Roman" w:eastAsia="仿宋"/>
          <w:lang w:val="en-US" w:eastAsia="zh-CN"/>
        </w:rPr>
        <w:t>新华社</w:t>
      </w:r>
      <w:r>
        <w:rPr>
          <w:rFonts w:hint="default"/>
          <w:lang w:eastAsia="zh-CN"/>
        </w:rPr>
        <w:t>）</w:t>
      </w: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国家能源局：截至10月底全国累计发电装机容量37.5亿千瓦，同比增长17.3%</w:t>
      </w:r>
    </w:p>
    <w:p w14:paraId="39DA2E50">
      <w:pPr>
        <w:ind w:firstLine="640" w:firstLineChars="200"/>
        <w:rPr>
          <w:rFonts w:hint="eastAsia"/>
          <w:highlight w:val="none"/>
          <w:lang w:val="en-US" w:eastAsia="zh-CN"/>
        </w:rPr>
      </w:pPr>
      <w:r>
        <w:rPr>
          <w:rFonts w:hint="eastAsia"/>
          <w:highlight w:val="none"/>
          <w:lang w:val="en-US" w:eastAsia="zh-CN"/>
        </w:rPr>
        <w:t>11月24日，据国家能源局消息，国家能源局发布1—10月份全国电力工业统计数据。截至10月底，全国累计发电装机容量37.5亿千瓦，同比增长17.3%。其中，太阳能发电装机容量11.4亿千瓦，同比增长43.8%；风电装机容量5.9亿千瓦，同比增长21.4%。1—10月份，全国发电设备累计平均利用2619小时，比上年同期降低260小时。（国家能源局）</w:t>
      </w:r>
    </w:p>
    <w:p w14:paraId="6372C955">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奕东电子：拟对深圳市冠鼎金属科技有限公司进行投资</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11月26日，奕东电子发布公告称，公司拟使用6,120万元，用于对深圳市冠鼎金属科技有限公司进行投资，最终取得深圳冠鼎51.00%股权。子公司东莞市可俐星电子有限公司增资222.2222万元，由深圳冠鼎的原实际控制人或其指定的第三方出资3,000万元认购。2025年1至6月份，奕东电子的营业收入构成为：电子制造业占比100.0%。</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世运电路：正在积极推进泰国生产基地建设与设备调试，首期规划产能约60万平方米</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11月26日，世运电路在投资者互动平台回答称，公司正在积极推进泰国生产基地的建设与设备调试，计划于明年初正式实现投产，首期规划产能约60万平方米，定位于海外客户配套与国际订单承接，将进一步提升公司全球交付能力与抗风险能力。公司目前正在积极推进泰国生产基地的建设与设备调试进展，计划于明年初正式实现投产。泰国基地不仅仅是产能的补充，更是公司承接海外客户更高端产品的重要载体。在泰国项目投产后，公司配合T客户同时具备国际化运营和本地+海外双线产能，即使在落实供应链区分的情况下，仍可实现正常稳健供应。</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本川智能拟发行4.9亿元可转债，投建珠海泰国生产基地拓展PCB产能</w:t>
      </w:r>
    </w:p>
    <w:p w14:paraId="2DF56610">
      <w:pPr>
        <w:ind w:firstLine="640" w:firstLineChars="200"/>
        <w:jc w:val="left"/>
        <w:rPr>
          <w:rFonts w:hint="eastAsia"/>
          <w:highlight w:val="none"/>
          <w:lang w:val="en-US" w:eastAsia="zh-CN"/>
        </w:rPr>
      </w:pPr>
      <w:r>
        <w:rPr>
          <w:rFonts w:hint="eastAsia"/>
          <w:highlight w:val="none"/>
          <w:lang w:val="en-US" w:eastAsia="zh-CN"/>
        </w:rPr>
        <w:t>11月25日，江苏本川智能电路科技股份有限公司近日就向不特定对象发行可转换公司债券事项回复深圳证券交易所审核问询函，披露了拟募资4.9亿元的具体投向及公司经营情况。公司计划将募集资金用于珠海硕鸿年产30万平米智能电路产品生产建设项目、泰国印制电路板生产基地建设项目及补充流动资金，旨在拓展境内外产能，优化产品结构，应对国际贸易环境变化。</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 xml:space="preserve"> 沪电股份：拟购买胜伟策15%股权</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11月24日，沪电股份公告称，为进一步提升对胜伟策的控制力和经营决策效率，公司拟以1900.91万欧元的价格购买胜伟策15%股权。本次交易完成后，公司持有胜伟策的股权比例将由84%增加至99%。（证券之星）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超颖电子：泰国厂投资建设AI算力高阶印制电路板扩产项目</w:t>
      </w:r>
    </w:p>
    <w:p w14:paraId="7C7C5314">
      <w:pPr>
        <w:ind w:firstLine="640" w:firstLineChars="200"/>
        <w:jc w:val="left"/>
        <w:rPr>
          <w:rFonts w:hint="eastAsia"/>
          <w:highlight w:val="none"/>
          <w:lang w:val="en-US" w:eastAsia="zh-CN"/>
        </w:rPr>
      </w:pPr>
      <w:r>
        <w:rPr>
          <w:rFonts w:hint="eastAsia"/>
          <w:highlight w:val="none"/>
          <w:lang w:val="en-US" w:eastAsia="zh-CN"/>
        </w:rPr>
        <w:t>11月20日，据超颖电子，我司在2025年11月11日有披露将在泰国厂投资建设AI算力高阶印制电路板扩产项目，预计投入约14.7亿人民币。包含了P5厂2期设备的扩增，预计第三季投入生产；以及P5a厂及D1钻孔中心，乃为满足客户设计层数愈来愈高及钻孔质与量提升的要求，预计第四季投入生产。泰国工厂建厂初期招募100多位泰籍员工来黄石工厂培训一年，公司管理层可使用泰文与员工无障碍沟通。（证券之星）</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淮安鹏鼎佳园二期项目正式开工奠基</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11月21日，由苏州中设集团承建的淮安鹏鼎佳园二期项目正式开工奠基。鹏鼎控股淮安园区董事长特助张仁彰、苏州中设集团党委书记兼董事长刘书华、神州监理总监乔明及项目负责人等出席仪式。作为全球PCB龙头，鹏鼎控股自2006年落户江苏淮安以来，累计在淮安经开区投资超160亿元，并于2025年再追加8</w:t>
      </w:r>
      <w:bookmarkStart w:id="0" w:name="_GoBack"/>
      <w:bookmarkEnd w:id="0"/>
      <w:r>
        <w:rPr>
          <w:rFonts w:hint="eastAsia" w:ascii="Times New Roman" w:eastAsia="仿宋"/>
          <w:highlight w:val="none"/>
          <w:lang w:val="en-US" w:eastAsia="zh-CN"/>
        </w:rPr>
        <w:t>0亿元，将持续为全球AI应用市场提供涵盖服务器、光通讯、人形机器人、智能汽车及AI端侧产品等多领域的全方位PCB解决方案。（</w:t>
      </w:r>
      <w:r>
        <w:rPr>
          <w:rFonts w:hint="eastAsia"/>
          <w:highlight w:val="none"/>
          <w:lang w:val="en-US" w:eastAsia="zh-CN"/>
        </w:rPr>
        <w:t>淮安发布</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CF557D7"/>
    <w:rsid w:val="0D126C01"/>
    <w:rsid w:val="0D6D6016"/>
    <w:rsid w:val="0D9373FE"/>
    <w:rsid w:val="0DAC478F"/>
    <w:rsid w:val="0DB15454"/>
    <w:rsid w:val="0DE43C80"/>
    <w:rsid w:val="0E2B494A"/>
    <w:rsid w:val="0E47788B"/>
    <w:rsid w:val="0E777996"/>
    <w:rsid w:val="0F046CBD"/>
    <w:rsid w:val="0F601A19"/>
    <w:rsid w:val="0F9E17AE"/>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961276"/>
    <w:rsid w:val="33A05842"/>
    <w:rsid w:val="33B80305"/>
    <w:rsid w:val="33E62FE3"/>
    <w:rsid w:val="340919EE"/>
    <w:rsid w:val="3442486C"/>
    <w:rsid w:val="345D0180"/>
    <w:rsid w:val="34AE33AA"/>
    <w:rsid w:val="34D423BC"/>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8551F5"/>
    <w:rsid w:val="3BCD47A7"/>
    <w:rsid w:val="3BFA4E20"/>
    <w:rsid w:val="3C402568"/>
    <w:rsid w:val="3C503CCB"/>
    <w:rsid w:val="3DD75419"/>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6E2E54"/>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AD6C8E"/>
    <w:rsid w:val="71B8286E"/>
    <w:rsid w:val="72B2653C"/>
    <w:rsid w:val="732764FB"/>
    <w:rsid w:val="73946B2F"/>
    <w:rsid w:val="74576EE0"/>
    <w:rsid w:val="748070FC"/>
    <w:rsid w:val="74B8340E"/>
    <w:rsid w:val="74BC1E14"/>
    <w:rsid w:val="75FA729D"/>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2324</Words>
  <Characters>2665</Characters>
  <Lines>1</Lines>
  <Paragraphs>1</Paragraphs>
  <TotalTime>507</TotalTime>
  <ScaleCrop>false</ScaleCrop>
  <LinksUpToDate>false</LinksUpToDate>
  <CharactersWithSpaces>2726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2025-11-27T02:02:53Z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9D466B5B04B44D6891F86CF203DD2ECD_13</vt:lpwstr>
  </property>
  <property fmtid="{D5CDD505-2E9C-101B-9397-08002B2CF9AE}" pid="4" name="KSOTemplateDocerSaveRecord">
    <vt:lpwstr>eyJoZGlkIjoiZWFlNjQ3NDIwZDEwN2RkZjI5ZmVhOGI2NjVlYTBkMTciLCJ1c2VySWQiOiIxMzgyMTM1ODU2In0=</vt:lpwstr>
  </property>
</Properties>
</file>