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4A2A80">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distribute"/>
        <w:textAlignment w:val="baseline"/>
        <w:rPr>
          <w:rFonts w:hint="default" w:ascii="黑体" w:hAnsi="黑体" w:eastAsia="黑体" w:cs="黑体"/>
          <w:b/>
          <w:bCs/>
          <w:color w:val="FF0000"/>
          <w:sz w:val="48"/>
          <w:szCs w:val="48"/>
          <w:lang w:val="en-US" w:eastAsia="zh-CN"/>
        </w:rPr>
      </w:pPr>
      <w:r>
        <w:rPr>
          <w:rFonts w:hint="eastAsia" w:ascii="黑体" w:hAnsi="宋体" w:eastAsia="黑体" w:cs="黑体"/>
          <w:b/>
          <w:bCs/>
          <w:snapToGrid w:val="0"/>
          <w:color w:val="FF0000"/>
          <w:kern w:val="0"/>
          <w:sz w:val="55"/>
          <w:szCs w:val="55"/>
          <w:lang w:val="en-US" w:eastAsia="zh-CN" w:bidi="ar"/>
        </w:rPr>
        <w:t xml:space="preserve"> </w:t>
      </w:r>
      <w:r>
        <w:rPr>
          <w:rFonts w:ascii="黑体" w:hAnsi="宋体" w:eastAsia="黑体" w:cs="黑体"/>
          <w:b/>
          <w:bCs/>
          <w:snapToGrid w:val="0"/>
          <w:color w:val="FF0000"/>
          <w:kern w:val="0"/>
          <w:sz w:val="55"/>
          <w:szCs w:val="55"/>
          <w:lang w:val="en-US" w:eastAsia="zh-CN" w:bidi="ar"/>
        </w:rPr>
        <w:t>中国电子电路行业协</w:t>
      </w:r>
      <w:r>
        <w:rPr>
          <w:rFonts w:hint="eastAsia" w:ascii="黑体" w:hAnsi="宋体" w:eastAsia="黑体" w:cs="黑体"/>
          <w:b/>
          <w:bCs/>
          <w:snapToGrid w:val="0"/>
          <w:color w:val="FF0000"/>
          <w:kern w:val="0"/>
          <w:sz w:val="55"/>
          <w:szCs w:val="55"/>
          <w:lang w:val="en-US" w:eastAsia="zh-CN" w:bidi="ar"/>
        </w:rPr>
        <w:t>会</w:t>
      </w:r>
    </w:p>
    <w:p w14:paraId="213DAA53">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baseline"/>
        <w:rPr>
          <w:rFonts w:ascii="华文楷体" w:hAnsi="华文楷体" w:eastAsia="华文楷体" w:cs="华文楷体"/>
          <w:b/>
          <w:bCs/>
          <w:snapToGrid w:val="0"/>
          <w:color w:val="C00000"/>
          <w:kern w:val="0"/>
          <w:sz w:val="28"/>
          <w:szCs w:val="28"/>
          <w:lang w:val="en-US" w:eastAsia="zh-CN" w:bidi="ar"/>
        </w:rPr>
      </w:pPr>
    </w:p>
    <w:p w14:paraId="07C5E7F7">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center"/>
        <w:textAlignment w:val="baseline"/>
        <w:rPr>
          <w:rFonts w:hint="default"/>
          <w:color w:val="C00000"/>
          <w:lang w:val="en-US"/>
        </w:rPr>
      </w:pPr>
      <w:r>
        <w:rPr>
          <w:rFonts w:hint="eastAsia" w:ascii="华文楷体" w:hAnsi="华文楷体" w:eastAsia="华文楷体" w:cs="华文楷体"/>
          <w:b/>
          <w:bCs/>
          <w:snapToGrid w:val="0"/>
          <w:color w:val="C00000"/>
          <w:kern w:val="0"/>
          <w:sz w:val="28"/>
          <w:szCs w:val="28"/>
          <w:lang w:val="en-US" w:eastAsia="zh-CN" w:bidi="ar"/>
        </w:rPr>
        <w:t>第117期</w:t>
      </w:r>
    </w:p>
    <w:p w14:paraId="2AF24459">
      <w:pPr>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jc w:val="both"/>
        <w:textAlignment w:val="baseline"/>
        <w:rPr>
          <w:rFonts w:hint="default" w:ascii="Arial"/>
          <w:sz w:val="21"/>
          <w:lang w:val="en-US"/>
        </w:rPr>
      </w:pPr>
      <w:r>
        <w:rPr>
          <w:rFonts w:ascii="华文楷体" w:hAnsi="华文楷体" w:eastAsia="华文楷体" w:cs="华文楷体"/>
          <w:b/>
          <w:bCs/>
          <w:snapToGrid w:val="0"/>
          <w:color w:val="000000"/>
          <w:kern w:val="0"/>
          <w:sz w:val="28"/>
          <w:szCs w:val="28"/>
          <w:u w:val="single" w:color="auto"/>
          <w:lang w:val="en-US" w:eastAsia="zh-CN" w:bidi="ar"/>
        </w:rPr>
        <w:t>信息部</w:t>
      </w:r>
      <w:r>
        <w:rPr>
          <w:rFonts w:hint="eastAsia" w:ascii="华文楷体" w:hAnsi="华文楷体" w:eastAsia="华文楷体" w:cs="华文楷体"/>
          <w:b/>
          <w:bCs/>
          <w:snapToGrid w:val="0"/>
          <w:color w:val="000000"/>
          <w:kern w:val="0"/>
          <w:sz w:val="28"/>
          <w:szCs w:val="28"/>
          <w:u w:val="single" w:color="auto"/>
          <w:lang w:val="en-US" w:eastAsia="zh-CN" w:bidi="ar"/>
        </w:rPr>
        <w:t xml:space="preserve">                                           2025年12月</w:t>
      </w:r>
    </w:p>
    <w:p w14:paraId="1A7B2DB4">
      <w:pPr>
        <w:pStyle w:val="3"/>
        <w:numPr>
          <w:ilvl w:val="0"/>
          <w:numId w:val="0"/>
        </w:numPr>
        <w:bidi w:val="0"/>
        <w:rPr>
          <w:rFonts w:hint="default"/>
          <w:highlight w:val="none"/>
          <w:lang w:val="en-US" w:eastAsia="zh-CN"/>
        </w:rPr>
      </w:pPr>
      <w:r>
        <w:rPr>
          <w:rFonts w:hint="eastAsia"/>
          <w:highlight w:val="none"/>
          <w:lang w:val="en-US" w:eastAsia="zh-CN"/>
        </w:rPr>
        <w:t>每周资讯|前11个月我国消费品以旧换新带动销售超2.5万亿元；11月新能源市场零售同比增长7%；鼎泰高科、大族数控拟赴香港上市</w:t>
      </w:r>
      <w:r>
        <w:rPr>
          <w:rFonts w:hint="eastAsia" w:cstheme="minorBidi"/>
          <w:b/>
          <w:kern w:val="2"/>
          <w:sz w:val="32"/>
          <w:szCs w:val="24"/>
          <w:highlight w:val="none"/>
          <w:lang w:val="en-US" w:eastAsia="zh-CN" w:bidi="ar-SA"/>
        </w:rPr>
        <w:t>..</w:t>
      </w:r>
    </w:p>
    <w:p w14:paraId="66DAB048">
      <w:pPr>
        <w:pStyle w:val="3"/>
        <w:numPr>
          <w:ilvl w:val="0"/>
          <w:numId w:val="1"/>
        </w:numPr>
        <w:bidi w:val="0"/>
        <w:rPr>
          <w:rFonts w:hint="eastAsia"/>
          <w:lang w:val="en-US" w:eastAsia="zh-CN"/>
        </w:rPr>
      </w:pPr>
      <w:r>
        <w:rPr>
          <w:rFonts w:hint="eastAsia"/>
          <w:lang w:val="en-US" w:eastAsia="zh-CN"/>
        </w:rPr>
        <w:t>行业</w:t>
      </w:r>
    </w:p>
    <w:p w14:paraId="1C0CB289">
      <w:pPr>
        <w:jc w:val="center"/>
        <w:rPr>
          <w:rFonts w:hint="default" w:ascii="黑体" w:hAnsi="黑体" w:eastAsia="黑体" w:cs="黑体"/>
          <w:b/>
          <w:bCs/>
          <w:lang w:val="en-US" w:eastAsia="zh-CN"/>
        </w:rPr>
      </w:pPr>
      <w:r>
        <w:rPr>
          <w:rFonts w:hint="default" w:ascii="黑体" w:hAnsi="黑体" w:eastAsia="黑体" w:cs="黑体"/>
          <w:b/>
          <w:bCs/>
          <w:lang w:val="en-US" w:eastAsia="zh-CN"/>
        </w:rPr>
        <w:t>五部门就加强数据要素学科专业建设和数字人才队伍建设提出意见</w:t>
      </w:r>
    </w:p>
    <w:p w14:paraId="59368A05">
      <w:pPr>
        <w:ind w:firstLine="640" w:firstLineChars="200"/>
        <w:rPr>
          <w:rFonts w:hint="default" w:ascii="黑体" w:hAnsi="黑体" w:eastAsia="黑体" w:cs="黑体"/>
          <w:b/>
          <w:bCs/>
          <w:lang w:val="en-US" w:eastAsia="zh-CN"/>
        </w:rPr>
      </w:pPr>
      <w:r>
        <w:rPr>
          <w:rFonts w:hint="eastAsia" w:ascii="Times New Roman" w:eastAsia="仿宋"/>
          <w:highlight w:val="none"/>
          <w:lang w:val="en-US" w:eastAsia="zh-CN"/>
        </w:rPr>
        <w:t>12月2日</w:t>
      </w:r>
      <w:r>
        <w:rPr>
          <w:rFonts w:hint="eastAsia"/>
          <w:highlight w:val="none"/>
          <w:lang w:val="en-US" w:eastAsia="zh-CN"/>
        </w:rPr>
        <w:t>，</w:t>
      </w:r>
      <w:r>
        <w:rPr>
          <w:rFonts w:hint="eastAsia" w:ascii="Times New Roman" w:eastAsia="仿宋"/>
          <w:highlight w:val="none"/>
          <w:lang w:val="en-US" w:eastAsia="zh-CN"/>
        </w:rPr>
        <w:t>据国家发改委网站消息，国家发展改革委、国家数据局、教育部、科技部、中共中央组织部发布《关于加强数据要素学科专业建设和数字人才队伍建设的意见》(以下简称《意见》)</w:t>
      </w:r>
      <w:r>
        <w:rPr>
          <w:rFonts w:hint="eastAsia"/>
          <w:highlight w:val="none"/>
          <w:lang w:val="en-US" w:eastAsia="zh-CN"/>
        </w:rPr>
        <w:t>。</w:t>
      </w:r>
      <w:r>
        <w:rPr>
          <w:rFonts w:hint="eastAsia" w:ascii="Times New Roman" w:eastAsia="仿宋"/>
          <w:highlight w:val="none"/>
          <w:lang w:val="en-US" w:eastAsia="zh-CN"/>
        </w:rPr>
        <w:t>《意见》旨在加强数据要素学科专业建设和数字人才队伍建设，建立数据领域科技发展、国家战略需求牵引的学科专业设置调整机制和人才培养模式，激活数据要素赋能新质生产力的创新引擎作用，促进数据领域教育链、人才链与产业链、创新链融合发展。</w:t>
      </w:r>
      <w:r>
        <w:rPr>
          <w:rFonts w:hint="eastAsia" w:ascii="Times New Roman" w:eastAsia="仿宋"/>
          <w:lang w:val="en-US" w:eastAsia="zh-CN"/>
        </w:rPr>
        <w:t>(</w:t>
      </w:r>
      <w:r>
        <w:rPr>
          <w:rFonts w:hint="eastAsia"/>
          <w:lang w:val="en-US" w:eastAsia="zh-CN"/>
        </w:rPr>
        <w:t>央视财经</w:t>
      </w:r>
      <w:r>
        <w:rPr>
          <w:rFonts w:hint="eastAsia" w:ascii="Times New Roman" w:eastAsia="仿宋"/>
          <w:lang w:val="en-US" w:eastAsia="zh-CN"/>
        </w:rPr>
        <w:t>)</w:t>
      </w:r>
    </w:p>
    <w:p w14:paraId="59E580D8">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Arial" w:hAnsi="Arial" w:eastAsia="黑体" w:cstheme="minorBidi"/>
          <w:b/>
          <w:kern w:val="2"/>
          <w:sz w:val="32"/>
          <w:szCs w:val="24"/>
          <w:lang w:val="en-US" w:eastAsia="zh-CN" w:bidi="ar-SA"/>
        </w:rPr>
      </w:pPr>
    </w:p>
    <w:p w14:paraId="79E56F53">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Arial" w:hAnsi="Arial" w:eastAsia="黑体" w:cstheme="minorBidi"/>
          <w:b/>
          <w:kern w:val="2"/>
          <w:sz w:val="32"/>
          <w:szCs w:val="24"/>
          <w:lang w:val="en-US" w:eastAsia="zh-CN" w:bidi="ar-SA"/>
        </w:rPr>
      </w:pPr>
      <w:r>
        <w:rPr>
          <w:rFonts w:hint="eastAsia" w:ascii="Arial" w:hAnsi="Arial" w:eastAsia="黑体" w:cstheme="minorBidi"/>
          <w:b/>
          <w:kern w:val="2"/>
          <w:sz w:val="32"/>
          <w:szCs w:val="24"/>
          <w:lang w:val="en-US" w:eastAsia="zh-CN" w:bidi="ar-SA"/>
        </w:rPr>
        <w:t>磷酸铁锂行业正集体提价，机构称四季度产业链有望量价齐升</w:t>
      </w:r>
    </w:p>
    <w:p w14:paraId="03B6C0F9">
      <w:pPr>
        <w:ind w:firstLine="640" w:firstLineChars="200"/>
        <w:jc w:val="left"/>
        <w:rPr>
          <w:rFonts w:hint="eastAsia"/>
          <w:lang w:val="en-US" w:eastAsia="zh-CN"/>
        </w:rPr>
      </w:pPr>
      <w:r>
        <w:rPr>
          <w:rFonts w:hint="eastAsia"/>
          <w:lang w:val="en-US" w:eastAsia="zh-CN"/>
        </w:rPr>
        <w:t>12月3日，报道称，磷酸铁锂行业正在发生一场集体提价行动。对此，记者以投资者身份致电龙蟠科技时，接线工作人员确认，近期行业确实有相关涨价的行情，目前公司销售人员也正在和客户积极沟通涨价事由。该工作人员直言，当前磷酸铁锂的原材料价格上涨，磷酸铁锂行业利润空间承压，叠加市场需求持续扩大，价格上涨是行业必然趋势。“公司对磷酸铁锂未来价格走势比较乐观”。(第一财经)</w:t>
      </w:r>
    </w:p>
    <w:p w14:paraId="2B88E06C">
      <w:pPr>
        <w:jc w:val="left"/>
        <w:rPr>
          <w:rFonts w:hint="eastAsia"/>
          <w:lang w:val="en-US" w:eastAsia="zh-CN"/>
        </w:rPr>
      </w:pPr>
    </w:p>
    <w:p w14:paraId="4BE1B00C">
      <w:pPr>
        <w:pStyle w:val="3"/>
        <w:bidi w:val="0"/>
        <w:jc w:val="center"/>
        <w:rPr>
          <w:rFonts w:hint="default"/>
          <w:lang w:val="en-US" w:eastAsia="zh-CN"/>
        </w:rPr>
      </w:pPr>
      <w:r>
        <w:rPr>
          <w:rFonts w:hint="eastAsia"/>
          <w:lang w:val="en-US" w:eastAsia="zh-CN"/>
        </w:rPr>
        <w:t>欧盟拟推《工业加速法》，关键商品需达70%欧洲制造标准</w:t>
      </w:r>
    </w:p>
    <w:p w14:paraId="20589A66">
      <w:pPr>
        <w:ind w:firstLine="640" w:firstLineChars="200"/>
        <w:rPr>
          <w:rFonts w:hint="eastAsia"/>
          <w:lang w:val="en-US" w:eastAsia="zh-CN"/>
        </w:rPr>
      </w:pPr>
      <w:r>
        <w:rPr>
          <w:rFonts w:hint="eastAsia" w:ascii="Times New Roman" w:eastAsia="仿宋"/>
          <w:lang w:val="en-US" w:eastAsia="zh-CN"/>
        </w:rPr>
        <w:t>12月10日，欧盟计划于公布《工业加速法》提案，要求汽车、电池等关键商品达到最高 70% 的"欧洲制造"本地含量标准。该政策将通过政府补贴和公共采购激励措施实施，只有满足本地含量基准的产品才能获得政府补助</w:t>
      </w:r>
      <w:r>
        <w:rPr>
          <w:rFonts w:hint="eastAsia"/>
          <w:lang w:val="en-US" w:eastAsia="zh-CN"/>
        </w:rPr>
        <w:t>。</w:t>
      </w:r>
      <w:r>
        <w:rPr>
          <w:rFonts w:hint="eastAsia" w:ascii="Times New Roman" w:eastAsia="仿宋"/>
          <w:lang w:val="en-US" w:eastAsia="zh-CN"/>
        </w:rPr>
        <w:t>但欧盟委员会内部存在分歧，贸易总司对本地含量门槛持怀疑态度。官员担忧欧洲制造产品价格远高于亚洲进口产品，可能使企业每年增加超过 100 亿欧元成本，削弱市场竞争力</w:t>
      </w:r>
      <w:r>
        <w:rPr>
          <w:rFonts w:hint="eastAsia"/>
          <w:lang w:val="en-US" w:eastAsia="zh-CN"/>
        </w:rPr>
        <w:t>。</w:t>
      </w:r>
      <w:r>
        <w:rPr>
          <w:rFonts w:hint="eastAsia" w:ascii="Times New Roman" w:eastAsia="仿宋"/>
          <w:lang w:val="en-US" w:eastAsia="zh-CN"/>
        </w:rPr>
        <w:t>(新华社)</w:t>
      </w:r>
    </w:p>
    <w:p w14:paraId="59DF9878">
      <w:pPr>
        <w:ind w:firstLine="640" w:firstLineChars="200"/>
        <w:jc w:val="left"/>
        <w:rPr>
          <w:rFonts w:hint="eastAsia"/>
          <w:lang w:val="en-US" w:eastAsia="zh-CN"/>
        </w:rPr>
      </w:pPr>
    </w:p>
    <w:p w14:paraId="31D4B605">
      <w:pPr>
        <w:jc w:val="left"/>
        <w:rPr>
          <w:rFonts w:hint="eastAsia"/>
          <w:lang w:val="en-US" w:eastAsia="zh-CN"/>
        </w:rPr>
      </w:pPr>
    </w:p>
    <w:p w14:paraId="667BABDA">
      <w:pPr>
        <w:pStyle w:val="3"/>
        <w:numPr>
          <w:ilvl w:val="0"/>
          <w:numId w:val="1"/>
        </w:numPr>
        <w:bidi w:val="0"/>
        <w:ind w:left="0" w:leftChars="0" w:firstLine="0" w:firstLineChars="0"/>
        <w:rPr>
          <w:rFonts w:hint="eastAsia"/>
          <w:lang w:val="en-US" w:eastAsia="zh-CN"/>
        </w:rPr>
      </w:pPr>
      <w:r>
        <w:rPr>
          <w:rFonts w:hint="eastAsia"/>
          <w:lang w:val="en-US" w:eastAsia="zh-CN"/>
        </w:rPr>
        <w:t>市场</w:t>
      </w:r>
    </w:p>
    <w:p w14:paraId="30C907F2">
      <w:pPr>
        <w:jc w:val="center"/>
        <w:rPr>
          <w:rFonts w:hint="default" w:ascii="黑体" w:hAnsi="黑体" w:eastAsia="黑体" w:cs="黑体"/>
          <w:b/>
          <w:bCs/>
          <w:lang w:val="en-US" w:eastAsia="zh-CN"/>
        </w:rPr>
      </w:pPr>
      <w:r>
        <w:rPr>
          <w:rFonts w:hint="default" w:ascii="黑体" w:hAnsi="黑体" w:eastAsia="黑体" w:cs="黑体"/>
          <w:b/>
          <w:bCs/>
          <w:lang w:val="en-US" w:eastAsia="zh-CN"/>
        </w:rPr>
        <w:t>前11个月我国消费品以旧换新带动销售超2.5万亿元</w:t>
      </w:r>
    </w:p>
    <w:p w14:paraId="09EFFEA9">
      <w:pPr>
        <w:ind w:firstLine="640" w:firstLineChars="200"/>
        <w:rPr>
          <w:rFonts w:hint="eastAsia" w:ascii="Times New Roman" w:eastAsia="仿宋"/>
          <w:lang w:val="en-US" w:eastAsia="zh-CN"/>
        </w:rPr>
      </w:pPr>
      <w:r>
        <w:rPr>
          <w:rFonts w:hint="eastAsia"/>
          <w:highlight w:val="none"/>
          <w:lang w:val="en-US" w:eastAsia="zh-CN"/>
        </w:rPr>
        <w:t>12月4日，商务部消息，今年1—11月，消费品以旧换新带动相关商品销售额超2.5万亿元，惠及超3.6亿人次。其中，汽车以旧换新超1120万辆，家电以旧换新超12844万台，手机等数码产品购新补贴超9015万件，电动自行车以旧换新超1291万辆，家装厨卫“焕新”超1.2亿件。今年以来，我国共分4批向地方下达3000亿元超长期特别国债资金，支持消费品以旧换新。随着政策效应加快释放，带动数字、绿色等新型消费发展向好，也推动相关行业绿色转型。</w:t>
      </w:r>
      <w:r>
        <w:rPr>
          <w:rFonts w:hint="eastAsia" w:ascii="Times New Roman" w:eastAsia="仿宋"/>
          <w:lang w:val="en-US" w:eastAsia="zh-CN"/>
        </w:rPr>
        <w:t>(</w:t>
      </w:r>
      <w:r>
        <w:rPr>
          <w:rFonts w:hint="eastAsia"/>
          <w:lang w:val="en-US" w:eastAsia="zh-CN"/>
        </w:rPr>
        <w:t>商务部</w:t>
      </w:r>
      <w:r>
        <w:rPr>
          <w:rFonts w:hint="eastAsia" w:ascii="Times New Roman" w:eastAsia="仿宋"/>
          <w:lang w:val="en-US" w:eastAsia="zh-CN"/>
        </w:rPr>
        <w:t>)</w:t>
      </w:r>
    </w:p>
    <w:p w14:paraId="22774C64">
      <w:pPr>
        <w:rPr>
          <w:rFonts w:hint="eastAsia" w:ascii="Times New Roman" w:eastAsia="仿宋"/>
          <w:lang w:val="en-US" w:eastAsia="zh-CN"/>
        </w:rPr>
      </w:pPr>
      <w:bookmarkStart w:id="0" w:name="_GoBack"/>
      <w:bookmarkEnd w:id="0"/>
    </w:p>
    <w:p w14:paraId="07896BD2">
      <w:pPr>
        <w:keepNext w:val="0"/>
        <w:keepLines w:val="0"/>
        <w:pageBreakBefore w:val="0"/>
        <w:widowControl w:val="0"/>
        <w:kinsoku/>
        <w:wordWrap w:val="0"/>
        <w:overflowPunct/>
        <w:topLinePunct w:val="0"/>
        <w:autoSpaceDE/>
        <w:autoSpaceDN/>
        <w:bidi w:val="0"/>
        <w:adjustRightInd/>
        <w:snapToGrid/>
        <w:jc w:val="center"/>
        <w:textAlignment w:val="auto"/>
        <w:rPr>
          <w:rFonts w:hint="eastAsia" w:ascii="Arial" w:hAnsi="Arial" w:eastAsia="黑体" w:cstheme="minorBidi"/>
          <w:b/>
          <w:kern w:val="2"/>
          <w:sz w:val="32"/>
          <w:szCs w:val="24"/>
          <w:lang w:val="en-US" w:eastAsia="zh-CN" w:bidi="ar-SA"/>
        </w:rPr>
      </w:pPr>
      <w:r>
        <w:rPr>
          <w:rFonts w:hint="eastAsia" w:ascii="Arial" w:hAnsi="Arial" w:eastAsia="黑体" w:cstheme="minorBidi"/>
          <w:b/>
          <w:kern w:val="2"/>
          <w:sz w:val="32"/>
          <w:szCs w:val="24"/>
          <w:lang w:val="en-US" w:eastAsia="zh-CN" w:bidi="ar-SA"/>
        </w:rPr>
        <w:t>11月新能源市场零售135.4万辆，同比增长7%</w:t>
      </w:r>
    </w:p>
    <w:p w14:paraId="3C0F113A">
      <w:pPr>
        <w:ind w:firstLine="640" w:firstLineChars="200"/>
        <w:jc w:val="left"/>
        <w:rPr>
          <w:rFonts w:hint="eastAsia" w:ascii="Times New Roman" w:eastAsia="仿宋"/>
          <w:lang w:val="en-US" w:eastAsia="zh-CN"/>
        </w:rPr>
      </w:pPr>
      <w:r>
        <w:rPr>
          <w:rFonts w:hint="eastAsia" w:ascii="Times New Roman" w:eastAsia="仿宋"/>
          <w:lang w:val="en-US" w:eastAsia="zh-CN"/>
        </w:rPr>
        <w:t>1</w:t>
      </w:r>
      <w:r>
        <w:rPr>
          <w:rFonts w:hint="eastAsia"/>
          <w:lang w:val="en-US" w:eastAsia="zh-CN"/>
        </w:rPr>
        <w:t>2</w:t>
      </w:r>
      <w:r>
        <w:rPr>
          <w:rFonts w:hint="eastAsia" w:ascii="Times New Roman" w:eastAsia="仿宋"/>
          <w:lang w:val="en-US" w:eastAsia="zh-CN"/>
        </w:rPr>
        <w:t>月</w:t>
      </w:r>
      <w:r>
        <w:rPr>
          <w:rFonts w:hint="eastAsia"/>
          <w:lang w:val="en-US" w:eastAsia="zh-CN"/>
        </w:rPr>
        <w:t>3</w:t>
      </w:r>
      <w:r>
        <w:rPr>
          <w:rFonts w:hint="eastAsia" w:ascii="Times New Roman" w:eastAsia="仿宋"/>
          <w:lang w:val="en-US" w:eastAsia="zh-CN"/>
        </w:rPr>
        <w:t>日，新能源市场方面，11月全国乘用车新能源市场零售量为135.4万辆，同比去年增长7%，环比上月增长6%，累计零售量为1150.4万辆，同比增长20%。厂商新能源批发量为172万辆，同比去年增长20%，环比上月增长7%，累计批发量为1377.7万辆，同比增长29%。11月全国乘用车新能源市场零售渗透率达到59.8%，厂商新能源批发渗透率为57.5%。</w:t>
      </w:r>
      <w:r>
        <w:rPr>
          <w:rFonts w:hint="default"/>
          <w:lang w:eastAsia="zh-CN"/>
        </w:rPr>
        <w:t>（</w:t>
      </w:r>
      <w:r>
        <w:rPr>
          <w:rFonts w:hint="eastAsia" w:ascii="Times New Roman" w:eastAsia="仿宋"/>
          <w:lang w:val="en-US" w:eastAsia="zh-CN"/>
        </w:rPr>
        <w:t>新华社</w:t>
      </w:r>
      <w:r>
        <w:rPr>
          <w:rFonts w:hint="default"/>
          <w:lang w:eastAsia="zh-CN"/>
        </w:rPr>
        <w:t>）</w:t>
      </w:r>
    </w:p>
    <w:p w14:paraId="341B45BD">
      <w:pPr>
        <w:rPr>
          <w:rFonts w:hint="default"/>
          <w:lang w:val="en-US" w:eastAsia="zh-CN"/>
        </w:rPr>
      </w:pPr>
    </w:p>
    <w:p w14:paraId="2EA60019">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伦铜再创历史新高，LME提货订单飙升至2013年以来最高水平，亚洲需求激增</w:t>
      </w:r>
    </w:p>
    <w:p w14:paraId="39DA2E50">
      <w:pPr>
        <w:ind w:firstLine="640" w:firstLineChars="200"/>
        <w:rPr>
          <w:rFonts w:hint="eastAsia"/>
          <w:highlight w:val="none"/>
          <w:lang w:val="en-US" w:eastAsia="zh-CN"/>
        </w:rPr>
      </w:pPr>
      <w:r>
        <w:rPr>
          <w:rFonts w:hint="eastAsia"/>
          <w:highlight w:val="none"/>
          <w:lang w:val="en-US" w:eastAsia="zh-CN"/>
        </w:rPr>
        <w:t>12月3日，伦敦金属交易所（LME）铜价延续强劲涨势，再度刷新历史高位。交易所数据显示，提货订单出现自2013年以来最大单日增幅。分析指出，本轮上涨仍由供应侧逻辑主导。一方面，为规避美国潜在进口关税，大量铜库存正持续向美国转移，加剧其他地区现货紧缺；另一方面，今年多次矿山生产中断事件已导致全球供应弹性下降。在上述结构性因素支撑下，铜价年内累计涨幅已接近30%。铜价持续攀升正对下游制造业与建筑业形成成本压力，同时为上游矿业企业带来显著利润空间。（华尔街见闻）</w:t>
      </w:r>
    </w:p>
    <w:p w14:paraId="6372C955">
      <w:pPr>
        <w:rPr>
          <w:rFonts w:hint="eastAsia"/>
          <w:highlight w:val="none"/>
          <w:lang w:val="en-US" w:eastAsia="zh-CN"/>
        </w:rPr>
      </w:pPr>
    </w:p>
    <w:p w14:paraId="147ED49F">
      <w:pPr>
        <w:pStyle w:val="3"/>
        <w:numPr>
          <w:ilvl w:val="0"/>
          <w:numId w:val="1"/>
        </w:numPr>
        <w:bidi w:val="0"/>
        <w:ind w:left="0" w:leftChars="0" w:firstLine="0" w:firstLineChars="0"/>
        <w:rPr>
          <w:rFonts w:hint="eastAsia"/>
          <w:lang w:val="en-US" w:eastAsia="zh-CN"/>
        </w:rPr>
      </w:pPr>
      <w:r>
        <w:rPr>
          <w:rFonts w:hint="eastAsia"/>
          <w:lang w:val="en-US" w:eastAsia="zh-CN"/>
        </w:rPr>
        <w:t>企业</w:t>
      </w:r>
    </w:p>
    <w:p w14:paraId="4DE28F38">
      <w:pPr>
        <w:jc w:val="center"/>
        <w:rPr>
          <w:rFonts w:hint="default"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东山精密近日入选中国上市公司协会2025年可持续发展优秀实践案</w:t>
      </w:r>
    </w:p>
    <w:p w14:paraId="7441AE3D">
      <w:pPr>
        <w:ind w:firstLine="640" w:firstLineChars="200"/>
        <w:rPr>
          <w:rFonts w:hint="default" w:ascii="Times New Roman" w:eastAsia="仿宋"/>
          <w:highlight w:val="none"/>
          <w:lang w:val="en-US" w:eastAsia="zh-CN"/>
        </w:rPr>
      </w:pPr>
      <w:r>
        <w:rPr>
          <w:rFonts w:hint="eastAsia"/>
          <w:highlight w:val="none"/>
          <w:lang w:val="en-US" w:eastAsia="zh-CN"/>
        </w:rPr>
        <w:t>12月4日，中国上市公司协会正式发布2025年上市公司“可持续发展优秀实践案例”评选结果。苏州东山精密制造股份有限公司凭借在可持续发展领域的持续深耕与扎实实践，蝉联该项荣誉。苏州东山精密制造股份有限公司属于计算机、通信和其他电子设备制造业，公司主营业务为盖印刷电路板、LED电子器件和通信设备。公司实际控制人是袁永刚;袁永峰;袁富根，持有公司股份49424万股， 比例为64.35%，为家族控制。</w:t>
      </w:r>
      <w:r>
        <w:rPr>
          <w:rFonts w:hint="eastAsia" w:ascii="Times New Roman" w:eastAsia="仿宋"/>
          <w:highlight w:val="none"/>
          <w:lang w:val="en-US" w:eastAsia="zh-CN"/>
        </w:rPr>
        <w:t>(</w:t>
      </w:r>
      <w:r>
        <w:rPr>
          <w:rFonts w:hint="eastAsia"/>
          <w:highlight w:val="none"/>
          <w:lang w:val="en-US" w:eastAsia="zh-CN"/>
        </w:rPr>
        <w:t>智通财经)</w:t>
      </w:r>
    </w:p>
    <w:p w14:paraId="78D240EB">
      <w:pPr>
        <w:rPr>
          <w:rFonts w:hint="eastAsia" w:ascii="Times New Roman" w:eastAsia="仿宋"/>
          <w:highlight w:val="none"/>
          <w:lang w:val="en-US" w:eastAsia="zh-CN"/>
        </w:rPr>
      </w:pPr>
    </w:p>
    <w:p w14:paraId="103B975F">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鼎泰高科首次向港交所递交招股书，拟在香港主板上市</w:t>
      </w:r>
    </w:p>
    <w:p w14:paraId="27CA046D">
      <w:pPr>
        <w:ind w:firstLine="640" w:firstLineChars="200"/>
        <w:rPr>
          <w:rFonts w:hint="eastAsia" w:ascii="Times New Roman" w:eastAsia="仿宋"/>
          <w:highlight w:val="none"/>
          <w:lang w:val="en-US" w:eastAsia="zh-CN"/>
        </w:rPr>
      </w:pPr>
      <w:r>
        <w:rPr>
          <w:rFonts w:hint="eastAsia"/>
          <w:highlight w:val="none"/>
          <w:lang w:val="en-US" w:eastAsia="zh-CN"/>
        </w:rPr>
        <w:t>12月1日，鼎泰高科首次向港交所递交招股书，拟在香港主板上市，联席保荐人为中信证券、汇丰。公司已于2022年11月在A股上市，截至2025年12月3日，市值约414亿人民币。公司是集工具、材料、装备于一体的精密制造综合解决方案供货商，已成长为PCB制造领域专用刀具全球龙头。根据弗若斯特沙利文的数据，于往绩记录期间，以销量计，公司为全球最大的钻针供货商。</w:t>
      </w:r>
      <w:r>
        <w:rPr>
          <w:rFonts w:hint="eastAsia" w:ascii="Times New Roman" w:eastAsia="仿宋"/>
          <w:highlight w:val="none"/>
          <w:lang w:val="en-US" w:eastAsia="zh-CN"/>
        </w:rPr>
        <w:t>（</w:t>
      </w:r>
      <w:r>
        <w:rPr>
          <w:rFonts w:hint="eastAsia"/>
          <w:highlight w:val="none"/>
          <w:lang w:val="en-US" w:eastAsia="zh-CN"/>
        </w:rPr>
        <w:t>WIND</w:t>
      </w:r>
      <w:r>
        <w:rPr>
          <w:rFonts w:hint="eastAsia" w:ascii="Times New Roman" w:eastAsia="仿宋"/>
          <w:highlight w:val="none"/>
          <w:lang w:val="en-US" w:eastAsia="zh-CN"/>
        </w:rPr>
        <w:t>）</w:t>
      </w:r>
    </w:p>
    <w:p w14:paraId="21180F53">
      <w:pPr>
        <w:rPr>
          <w:rFonts w:hint="eastAsia" w:ascii="Times New Roman" w:eastAsia="仿宋"/>
          <w:highlight w:val="none"/>
          <w:lang w:val="en-US" w:eastAsia="zh-CN"/>
        </w:rPr>
      </w:pPr>
    </w:p>
    <w:p w14:paraId="1EABFD3B">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大族数控，递交IPO招股书，拟赴香港上市</w:t>
      </w:r>
    </w:p>
    <w:p w14:paraId="2DF56610">
      <w:pPr>
        <w:ind w:firstLine="640" w:firstLineChars="200"/>
        <w:jc w:val="left"/>
        <w:rPr>
          <w:rFonts w:hint="eastAsia"/>
          <w:highlight w:val="none"/>
          <w:lang w:val="en-US" w:eastAsia="zh-CN"/>
        </w:rPr>
      </w:pPr>
      <w:r>
        <w:rPr>
          <w:rFonts w:hint="eastAsia"/>
          <w:highlight w:val="none"/>
          <w:lang w:val="en-US" w:eastAsia="zh-CN"/>
        </w:rPr>
        <w:t>12月2日，来自广东深圳宝安区的A股上市公司深圳市大族数控科技股份有限公司SHENZHEN HAN’S CNC TECHNOLOGY CO., LTD.(简称大族数控)在港交所递交招股书，拟在香港主板挂牌上市。这是继其于2025年5月30日递表失效后的再一次申请。大族数控于2022年2月28日在深交所上市，截至12月2日收市，其总市值约人民币457亿元。</w:t>
      </w:r>
      <w:r>
        <w:rPr>
          <w:rFonts w:hint="eastAsia" w:ascii="Times New Roman" w:eastAsia="仿宋"/>
          <w:highlight w:val="none"/>
          <w:lang w:val="en-US" w:eastAsia="zh-CN"/>
        </w:rPr>
        <w:t>（</w:t>
      </w:r>
      <w:r>
        <w:rPr>
          <w:rFonts w:hint="eastAsia"/>
          <w:highlight w:val="none"/>
          <w:lang w:val="en-US" w:eastAsia="zh-CN"/>
        </w:rPr>
        <w:t>WIND</w:t>
      </w:r>
      <w:r>
        <w:rPr>
          <w:rFonts w:hint="eastAsia" w:ascii="Times New Roman" w:eastAsia="仿宋"/>
          <w:highlight w:val="none"/>
          <w:lang w:val="en-US" w:eastAsia="zh-CN"/>
        </w:rPr>
        <w:t>）</w:t>
      </w:r>
    </w:p>
    <w:p w14:paraId="1FF813C6">
      <w:pPr>
        <w:rPr>
          <w:rFonts w:hint="eastAsia" w:ascii="Times New Roman" w:eastAsia="仿宋"/>
          <w:highlight w:val="none"/>
          <w:lang w:val="en-US" w:eastAsia="zh-CN"/>
        </w:rPr>
      </w:pPr>
    </w:p>
    <w:p w14:paraId="6E509DFB">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沪电股份：沪士泰国生产基地于2025年第二季度进入小规模量产阶段</w:t>
      </w:r>
    </w:p>
    <w:p w14:paraId="71F1C254">
      <w:pPr>
        <w:ind w:firstLine="640" w:firstLineChars="200"/>
        <w:rPr>
          <w:rFonts w:hint="eastAsia" w:ascii="Times New Roman" w:eastAsia="仿宋"/>
          <w:highlight w:val="none"/>
          <w:lang w:val="en-US" w:eastAsia="zh-CN"/>
        </w:rPr>
      </w:pPr>
      <w:r>
        <w:rPr>
          <w:rFonts w:hint="eastAsia"/>
          <w:highlight w:val="none"/>
          <w:lang w:val="en-US" w:eastAsia="zh-CN"/>
        </w:rPr>
        <w:t>12月2日，沪电股份称，沪士泰国生产基地于2025年第二季度进入小规模量产阶段 在 AI服务器和交换机等应用领域，已陆续取得客户的正式认可。 泰国工厂公司正全力提升其生产效率和产品质量，随着客户拓展及产品导入的逐步推进，其产能将逐步有序释放，并进一步验证 其中高端产品的生产能力，为产品梯次结构的优化升级奠定基础。（证券之星）</w:t>
      </w:r>
    </w:p>
    <w:p w14:paraId="7F6246FC">
      <w:pPr>
        <w:rPr>
          <w:rFonts w:hint="eastAsia" w:ascii="Times New Roman" w:eastAsia="仿宋"/>
          <w:highlight w:val="none"/>
          <w:lang w:val="en-US" w:eastAsia="zh-CN"/>
        </w:rPr>
      </w:pPr>
    </w:p>
    <w:p w14:paraId="62DC4DC7">
      <w:pPr>
        <w:rPr>
          <w:rFonts w:hint="eastAsia" w:ascii="Times New Roman" w:eastAsia="仿宋"/>
          <w:highlight w:val="none"/>
          <w:lang w:val="en-US" w:eastAsia="zh-CN"/>
        </w:rPr>
      </w:pPr>
    </w:p>
    <w:p w14:paraId="1D31E7F1">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穗联电路高阶PCB（印制电路板）智造基地项目</w:t>
      </w:r>
    </w:p>
    <w:p w14:paraId="7C7C5314">
      <w:pPr>
        <w:ind w:firstLine="640" w:firstLineChars="200"/>
        <w:jc w:val="left"/>
        <w:rPr>
          <w:rFonts w:hint="eastAsia"/>
          <w:highlight w:val="none"/>
          <w:lang w:val="en-US" w:eastAsia="zh-CN"/>
        </w:rPr>
      </w:pPr>
      <w:r>
        <w:rPr>
          <w:rFonts w:hint="eastAsia"/>
          <w:highlight w:val="none"/>
          <w:lang w:val="en-US" w:eastAsia="zh-CN"/>
        </w:rPr>
        <w:t>12月3日，佛山市竞国电子有限公司成功竞得高明区西江产业新城43.5亩地块，总投资6亿元建设穗联电路高阶PCB（印制电路板）智造基地项目。该项目聚焦高阶软性电路板研发与生产，将填补高明区高阶PCB产业链空白，进一步推动高明区软性电路板产业集群向更高质量发展迈进。（西江产业新城）</w:t>
      </w:r>
    </w:p>
    <w:p w14:paraId="069ED929">
      <w:pPr>
        <w:jc w:val="left"/>
        <w:rPr>
          <w:rFonts w:hint="eastAsia"/>
          <w:highlight w:val="none"/>
          <w:lang w:val="en-US" w:eastAsia="zh-CN"/>
        </w:rPr>
      </w:pPr>
    </w:p>
    <w:p w14:paraId="1EF14F44">
      <w:pPr>
        <w:jc w:val="center"/>
        <w:rPr>
          <w:rFonts w:hint="eastAsia" w:ascii="Arial" w:hAnsi="Arial" w:eastAsia="黑体" w:cstheme="minorBidi"/>
          <w:b/>
          <w:kern w:val="2"/>
          <w:sz w:val="32"/>
          <w:szCs w:val="24"/>
          <w:highlight w:val="none"/>
          <w:lang w:val="en-US" w:eastAsia="zh-CN" w:bidi="ar-SA"/>
        </w:rPr>
      </w:pPr>
      <w:r>
        <w:rPr>
          <w:rFonts w:hint="eastAsia" w:ascii="Arial" w:hAnsi="Arial" w:eastAsia="黑体" w:cstheme="minorBidi"/>
          <w:b/>
          <w:kern w:val="2"/>
          <w:sz w:val="32"/>
          <w:szCs w:val="24"/>
          <w:highlight w:val="none"/>
          <w:lang w:val="en-US" w:eastAsia="zh-CN" w:bidi="ar-SA"/>
        </w:rPr>
        <w:t>江西旭昇电子计划建设年产240万㎡Micro LED COB载板生产基地</w:t>
      </w:r>
    </w:p>
    <w:p w14:paraId="7C971DB2">
      <w:pPr>
        <w:ind w:firstLine="640" w:firstLineChars="200"/>
        <w:rPr>
          <w:rFonts w:hint="eastAsia" w:ascii="Times New Roman" w:eastAsia="仿宋"/>
          <w:highlight w:val="none"/>
          <w:lang w:val="en-US" w:eastAsia="zh-CN"/>
        </w:rPr>
      </w:pPr>
      <w:r>
        <w:rPr>
          <w:rFonts w:hint="eastAsia" w:ascii="Times New Roman" w:eastAsia="仿宋"/>
          <w:highlight w:val="none"/>
          <w:lang w:val="en-US" w:eastAsia="zh-CN"/>
        </w:rPr>
        <w:t>1</w:t>
      </w:r>
      <w:r>
        <w:rPr>
          <w:rFonts w:hint="eastAsia"/>
          <w:highlight w:val="none"/>
          <w:lang w:val="en-US" w:eastAsia="zh-CN"/>
        </w:rPr>
        <w:t>2</w:t>
      </w:r>
      <w:r>
        <w:rPr>
          <w:rFonts w:hint="eastAsia" w:ascii="Times New Roman" w:eastAsia="仿宋"/>
          <w:highlight w:val="none"/>
          <w:lang w:val="en-US" w:eastAsia="zh-CN"/>
        </w:rPr>
        <w:t>月2</w:t>
      </w:r>
      <w:r>
        <w:rPr>
          <w:rFonts w:hint="eastAsia"/>
          <w:highlight w:val="none"/>
          <w:lang w:val="en-US" w:eastAsia="zh-CN"/>
        </w:rPr>
        <w:t>2</w:t>
      </w:r>
      <w:r>
        <w:rPr>
          <w:rFonts w:hint="eastAsia" w:ascii="Times New Roman" w:eastAsia="仿宋"/>
          <w:highlight w:val="none"/>
          <w:lang w:val="en-US" w:eastAsia="zh-CN"/>
        </w:rPr>
        <w:t>日，江西旭昇电子股份有限公司是一家PCB线路板研发、生产及销售的专精特新企业，计划在浙江省湖州市安吉县建设年产240万㎡Micro LED COB载板生产基地。江西旭昇电子股份有限公司CEO尹华彪表示，旭昇电子将未来公司发展重心落户安吉，正是看中这里能让创新的成果更快转化，让产业梦想加速实现，这是我们深思熟虑以后的坚定抉择，是顺势而为，更是心之所向。（</w:t>
      </w:r>
      <w:r>
        <w:rPr>
          <w:rFonts w:hint="eastAsia"/>
          <w:highlight w:val="none"/>
          <w:lang w:val="en-US" w:eastAsia="zh-CN"/>
        </w:rPr>
        <w:t>浙江发布</w:t>
      </w:r>
      <w:r>
        <w:rPr>
          <w:rFonts w:hint="eastAsia" w:ascii="Times New Roman" w:eastAsia="仿宋"/>
          <w:highlight w:val="none"/>
          <w:lang w:val="en-US" w:eastAsia="zh-CN"/>
        </w:rPr>
        <w:t>）</w:t>
      </w:r>
    </w:p>
    <w:p w14:paraId="19D517E2">
      <w:pPr>
        <w:rPr>
          <w:rFonts w:hint="eastAsia" w:ascii="Times New Roman" w:eastAsia="仿宋"/>
          <w:highlight w:val="none"/>
          <w:lang w:val="en-US" w:eastAsia="zh-CN"/>
        </w:rPr>
      </w:pPr>
    </w:p>
    <w:p w14:paraId="634CD8DE">
      <w:pPr>
        <w:pStyle w:val="8"/>
        <w:keepNext w:val="0"/>
        <w:keepLines w:val="0"/>
        <w:widowControl/>
        <w:suppressLineNumbers w:val="0"/>
        <w:rPr>
          <w:rFonts w:hint="default"/>
          <w:lang w:val="en-US" w:eastAsia="zh-CN"/>
        </w:rPr>
      </w:pPr>
      <w:r>
        <w:rPr>
          <w:rFonts w:hint="eastAsia" w:eastAsia="仿宋"/>
          <w:lang w:eastAsia="zh-CN"/>
        </w:rPr>
        <w:drawing>
          <wp:inline distT="0" distB="0" distL="114300" distR="114300">
            <wp:extent cx="5253355" cy="2954655"/>
            <wp:effectExtent l="0" t="0" r="4445" b="4445"/>
            <wp:docPr id="4" name="图片 4" descr="横版大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横版大图"/>
                    <pic:cNvPicPr>
                      <a:picLocks noChangeAspect="1"/>
                    </pic:cNvPicPr>
                  </pic:nvPicPr>
                  <pic:blipFill>
                    <a:blip r:embed="rId7"/>
                    <a:stretch>
                      <a:fillRect/>
                    </a:stretch>
                  </pic:blipFill>
                  <pic:spPr>
                    <a:xfrm>
                      <a:off x="0" y="0"/>
                      <a:ext cx="5253355" cy="2954655"/>
                    </a:xfrm>
                    <a:prstGeom prst="rect">
                      <a:avLst/>
                    </a:prstGeom>
                  </pic:spPr>
                </pic:pic>
              </a:graphicData>
            </a:graphic>
          </wp:inline>
        </w:drawing>
      </w:r>
    </w:p>
    <w:p w14:paraId="48AB36BB">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更多精彩内容请扫描下方二维码，关注CPCA服务号</w:t>
      </w:r>
    </w:p>
    <w:p w14:paraId="56539B09">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撰稿人：张国旗</w:t>
      </w:r>
    </w:p>
    <w:p w14:paraId="02BF6BF2">
      <w:pPr>
        <w:keepNext w:val="0"/>
        <w:keepLines w:val="0"/>
        <w:widowControl/>
        <w:suppressLineNumbers w:val="0"/>
        <w:ind w:firstLine="0" w:firstLineChars="0"/>
        <w:jc w:val="right"/>
        <w:rPr>
          <w:rFonts w:hint="eastAsia" w:ascii="华文仿宋" w:hAnsi="华文仿宋" w:eastAsia="华文仿宋" w:cs="华文仿宋"/>
          <w:color w:val="000000"/>
          <w:kern w:val="0"/>
          <w:sz w:val="28"/>
          <w:szCs w:val="28"/>
          <w:lang w:val="en-US" w:eastAsia="zh-CN" w:bidi="ar"/>
        </w:rPr>
      </w:pPr>
      <w:r>
        <w:rPr>
          <w:rFonts w:hint="eastAsia" w:ascii="华文仿宋" w:hAnsi="华文仿宋" w:eastAsia="华文仿宋" w:cs="华文仿宋"/>
          <w:color w:val="000000"/>
          <w:kern w:val="0"/>
          <w:sz w:val="28"/>
          <w:szCs w:val="28"/>
          <w:lang w:val="en-US" w:eastAsia="zh-CN" w:bidi="ar"/>
        </w:rPr>
        <w:t>审核：张运</w:t>
      </w:r>
    </w:p>
    <w:p w14:paraId="583523D6">
      <w:pPr>
        <w:widowControl w:val="0"/>
        <w:bidi w:val="0"/>
        <w:spacing w:line="240" w:lineRule="auto"/>
        <w:ind w:left="0" w:leftChars="0" w:firstLine="0" w:firstLineChars="0"/>
        <w:jc w:val="right"/>
        <w:rPr>
          <w:rFonts w:hint="default"/>
          <w:lang w:val="en-US" w:eastAsia="zh-CN"/>
        </w:rPr>
      </w:pPr>
      <w:r>
        <w:drawing>
          <wp:inline distT="0" distB="0" distL="114300" distR="114300">
            <wp:extent cx="1187450" cy="1168400"/>
            <wp:effectExtent l="0" t="0" r="6350" b="0"/>
            <wp:docPr id="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
                    <pic:cNvPicPr>
                      <a:picLocks noChangeAspect="1"/>
                    </pic:cNvPicPr>
                  </pic:nvPicPr>
                  <pic:blipFill>
                    <a:blip r:embed="rId8"/>
                    <a:stretch>
                      <a:fillRect/>
                    </a:stretch>
                  </pic:blipFill>
                  <pic:spPr>
                    <a:xfrm>
                      <a:off x="0" y="0"/>
                      <a:ext cx="1187450" cy="1168400"/>
                    </a:xfrm>
                    <a:prstGeom prst="rect">
                      <a:avLst/>
                    </a:prstGeom>
                    <a:noFill/>
                    <a:ln>
                      <a:noFill/>
                    </a:ln>
                  </pic:spPr>
                </pic:pic>
              </a:graphicData>
            </a:graphic>
          </wp:inline>
        </w:drawing>
      </w: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CAC25">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00BA7F">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200BA7F">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3DB433"/>
    <w:multiLevelType w:val="singleLevel"/>
    <w:tmpl w:val="B13DB43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zOWMyNjJmMjNlODM4ZmI5MmQxODQ5NGE2NzgyZGMifQ=="/>
  </w:docVars>
  <w:rsids>
    <w:rsidRoot w:val="00172A27"/>
    <w:rsid w:val="008953F8"/>
    <w:rsid w:val="008F6183"/>
    <w:rsid w:val="00970586"/>
    <w:rsid w:val="01785675"/>
    <w:rsid w:val="017D23A8"/>
    <w:rsid w:val="01DC7DD6"/>
    <w:rsid w:val="01DF631E"/>
    <w:rsid w:val="02376B7A"/>
    <w:rsid w:val="02765870"/>
    <w:rsid w:val="02DE4A39"/>
    <w:rsid w:val="044F4E1E"/>
    <w:rsid w:val="047732AA"/>
    <w:rsid w:val="049727D9"/>
    <w:rsid w:val="04BE6757"/>
    <w:rsid w:val="04CD32E2"/>
    <w:rsid w:val="04E81B1A"/>
    <w:rsid w:val="057F11D8"/>
    <w:rsid w:val="05BB5375"/>
    <w:rsid w:val="060D3218"/>
    <w:rsid w:val="06542070"/>
    <w:rsid w:val="065F5E83"/>
    <w:rsid w:val="06CC35FE"/>
    <w:rsid w:val="07565116"/>
    <w:rsid w:val="07AD5543"/>
    <w:rsid w:val="08115849"/>
    <w:rsid w:val="08773E7A"/>
    <w:rsid w:val="08C477D5"/>
    <w:rsid w:val="09762B92"/>
    <w:rsid w:val="09834103"/>
    <w:rsid w:val="0A21302B"/>
    <w:rsid w:val="0A46280F"/>
    <w:rsid w:val="0A977BD6"/>
    <w:rsid w:val="0AFA5870"/>
    <w:rsid w:val="0B19257F"/>
    <w:rsid w:val="0B22064F"/>
    <w:rsid w:val="0B3F58BD"/>
    <w:rsid w:val="0B494101"/>
    <w:rsid w:val="0B6426D4"/>
    <w:rsid w:val="0B78105E"/>
    <w:rsid w:val="0B9176F8"/>
    <w:rsid w:val="0C9B6BDE"/>
    <w:rsid w:val="0C9C373F"/>
    <w:rsid w:val="0CCF6098"/>
    <w:rsid w:val="0CF557D7"/>
    <w:rsid w:val="0D126C01"/>
    <w:rsid w:val="0D6D6016"/>
    <w:rsid w:val="0D9373FE"/>
    <w:rsid w:val="0DAC478F"/>
    <w:rsid w:val="0DB15454"/>
    <w:rsid w:val="0DE43C80"/>
    <w:rsid w:val="0E2B494A"/>
    <w:rsid w:val="0E47788B"/>
    <w:rsid w:val="0E777996"/>
    <w:rsid w:val="0F046CBD"/>
    <w:rsid w:val="0F601A19"/>
    <w:rsid w:val="0F9E17AE"/>
    <w:rsid w:val="0FF12DEB"/>
    <w:rsid w:val="100920B1"/>
    <w:rsid w:val="104666EA"/>
    <w:rsid w:val="10946843"/>
    <w:rsid w:val="110E34BB"/>
    <w:rsid w:val="110E73FF"/>
    <w:rsid w:val="111028B5"/>
    <w:rsid w:val="112C7CBB"/>
    <w:rsid w:val="11771034"/>
    <w:rsid w:val="124F6B19"/>
    <w:rsid w:val="12DA74B7"/>
    <w:rsid w:val="12DB66FD"/>
    <w:rsid w:val="12F91530"/>
    <w:rsid w:val="1306430A"/>
    <w:rsid w:val="136B7FB0"/>
    <w:rsid w:val="13835D97"/>
    <w:rsid w:val="138676EA"/>
    <w:rsid w:val="141C258C"/>
    <w:rsid w:val="14C12F5A"/>
    <w:rsid w:val="14E67A56"/>
    <w:rsid w:val="150B41DA"/>
    <w:rsid w:val="15251B3B"/>
    <w:rsid w:val="1526048F"/>
    <w:rsid w:val="15B46645"/>
    <w:rsid w:val="15B56E2A"/>
    <w:rsid w:val="15DB7145"/>
    <w:rsid w:val="15E46F00"/>
    <w:rsid w:val="166659F9"/>
    <w:rsid w:val="16960A92"/>
    <w:rsid w:val="16BC1C2B"/>
    <w:rsid w:val="16CF0148"/>
    <w:rsid w:val="17062EEA"/>
    <w:rsid w:val="17555A33"/>
    <w:rsid w:val="17876D25"/>
    <w:rsid w:val="182267CA"/>
    <w:rsid w:val="18A46E1B"/>
    <w:rsid w:val="199B6470"/>
    <w:rsid w:val="1A622AE9"/>
    <w:rsid w:val="1A8C739D"/>
    <w:rsid w:val="1AB13D5A"/>
    <w:rsid w:val="1AE60D31"/>
    <w:rsid w:val="1B72369B"/>
    <w:rsid w:val="1B842559"/>
    <w:rsid w:val="1C2516BD"/>
    <w:rsid w:val="1CAD60E0"/>
    <w:rsid w:val="1D18610F"/>
    <w:rsid w:val="1E4B5A2B"/>
    <w:rsid w:val="1E5209CD"/>
    <w:rsid w:val="1E5D6D5E"/>
    <w:rsid w:val="1E645BF0"/>
    <w:rsid w:val="1EB9047B"/>
    <w:rsid w:val="1F0926FA"/>
    <w:rsid w:val="1F390CCB"/>
    <w:rsid w:val="1F3F651D"/>
    <w:rsid w:val="1FCC39FA"/>
    <w:rsid w:val="1FFE35CC"/>
    <w:rsid w:val="200C07F7"/>
    <w:rsid w:val="20897E6F"/>
    <w:rsid w:val="20BD71EB"/>
    <w:rsid w:val="20BE2B76"/>
    <w:rsid w:val="20CC0EE2"/>
    <w:rsid w:val="21B84562"/>
    <w:rsid w:val="21C04BDE"/>
    <w:rsid w:val="21C24B9B"/>
    <w:rsid w:val="21CB236C"/>
    <w:rsid w:val="22B927FF"/>
    <w:rsid w:val="22E43154"/>
    <w:rsid w:val="2489657E"/>
    <w:rsid w:val="24B27142"/>
    <w:rsid w:val="24E7219B"/>
    <w:rsid w:val="251A5E6D"/>
    <w:rsid w:val="25512847"/>
    <w:rsid w:val="25761848"/>
    <w:rsid w:val="261B7921"/>
    <w:rsid w:val="264755DA"/>
    <w:rsid w:val="26F9200B"/>
    <w:rsid w:val="270A498F"/>
    <w:rsid w:val="278F5BF6"/>
    <w:rsid w:val="27A243EC"/>
    <w:rsid w:val="27B4797D"/>
    <w:rsid w:val="28497F4E"/>
    <w:rsid w:val="2859111F"/>
    <w:rsid w:val="28B37238"/>
    <w:rsid w:val="28E16914"/>
    <w:rsid w:val="29BE15E9"/>
    <w:rsid w:val="2A423861"/>
    <w:rsid w:val="2A5C5AFE"/>
    <w:rsid w:val="2A720D08"/>
    <w:rsid w:val="2AA95190"/>
    <w:rsid w:val="2B2524AF"/>
    <w:rsid w:val="2B312C8E"/>
    <w:rsid w:val="2B7B5CB3"/>
    <w:rsid w:val="2BBF78D5"/>
    <w:rsid w:val="2C622E1D"/>
    <w:rsid w:val="2C7B02A7"/>
    <w:rsid w:val="2C8E7905"/>
    <w:rsid w:val="2CCF40E2"/>
    <w:rsid w:val="2CD53B9A"/>
    <w:rsid w:val="2CD77367"/>
    <w:rsid w:val="2D2626A0"/>
    <w:rsid w:val="2DE262D6"/>
    <w:rsid w:val="2DE644D2"/>
    <w:rsid w:val="2E1378EE"/>
    <w:rsid w:val="2EF7039C"/>
    <w:rsid w:val="2F2D6FB5"/>
    <w:rsid w:val="2F6B4AD8"/>
    <w:rsid w:val="2FEC0E0A"/>
    <w:rsid w:val="302A3C11"/>
    <w:rsid w:val="30797214"/>
    <w:rsid w:val="30D10F27"/>
    <w:rsid w:val="30EA07CC"/>
    <w:rsid w:val="313E5C07"/>
    <w:rsid w:val="31903FB7"/>
    <w:rsid w:val="31C0661C"/>
    <w:rsid w:val="31E10D64"/>
    <w:rsid w:val="325524D0"/>
    <w:rsid w:val="325A0517"/>
    <w:rsid w:val="32EB188E"/>
    <w:rsid w:val="336743E3"/>
    <w:rsid w:val="33961276"/>
    <w:rsid w:val="33A05842"/>
    <w:rsid w:val="33B80305"/>
    <w:rsid w:val="33E62FE3"/>
    <w:rsid w:val="340919EE"/>
    <w:rsid w:val="3442486C"/>
    <w:rsid w:val="345D0180"/>
    <w:rsid w:val="34AE33AA"/>
    <w:rsid w:val="34D423BC"/>
    <w:rsid w:val="35085D0E"/>
    <w:rsid w:val="350E5A19"/>
    <w:rsid w:val="35130D79"/>
    <w:rsid w:val="35284C04"/>
    <w:rsid w:val="35523A2F"/>
    <w:rsid w:val="35727C2D"/>
    <w:rsid w:val="35734034"/>
    <w:rsid w:val="35EF1F5F"/>
    <w:rsid w:val="363F160E"/>
    <w:rsid w:val="364C0923"/>
    <w:rsid w:val="36FA437E"/>
    <w:rsid w:val="373B350A"/>
    <w:rsid w:val="3783091D"/>
    <w:rsid w:val="3785578A"/>
    <w:rsid w:val="37A7315E"/>
    <w:rsid w:val="38072E43"/>
    <w:rsid w:val="3885411B"/>
    <w:rsid w:val="38F44DFD"/>
    <w:rsid w:val="39273424"/>
    <w:rsid w:val="39630EB6"/>
    <w:rsid w:val="39817F30"/>
    <w:rsid w:val="3A6377F7"/>
    <w:rsid w:val="3A733271"/>
    <w:rsid w:val="3AC73557"/>
    <w:rsid w:val="3AE8373F"/>
    <w:rsid w:val="3AF712CC"/>
    <w:rsid w:val="3B170BE2"/>
    <w:rsid w:val="3B246918"/>
    <w:rsid w:val="3B415A96"/>
    <w:rsid w:val="3B66696F"/>
    <w:rsid w:val="3B835876"/>
    <w:rsid w:val="3B8551F5"/>
    <w:rsid w:val="3BCD47A7"/>
    <w:rsid w:val="3BFA4E20"/>
    <w:rsid w:val="3C402568"/>
    <w:rsid w:val="3C503CCB"/>
    <w:rsid w:val="3DD75419"/>
    <w:rsid w:val="3DF17D30"/>
    <w:rsid w:val="3DF340B9"/>
    <w:rsid w:val="3E526AD0"/>
    <w:rsid w:val="3E5C7080"/>
    <w:rsid w:val="3FBC4A1D"/>
    <w:rsid w:val="40212FAA"/>
    <w:rsid w:val="41482E61"/>
    <w:rsid w:val="41517290"/>
    <w:rsid w:val="415747BE"/>
    <w:rsid w:val="41BA2786"/>
    <w:rsid w:val="42861B49"/>
    <w:rsid w:val="42C6151D"/>
    <w:rsid w:val="43821181"/>
    <w:rsid w:val="43CC0E50"/>
    <w:rsid w:val="43D931BA"/>
    <w:rsid w:val="43F54889"/>
    <w:rsid w:val="4414020A"/>
    <w:rsid w:val="44B50487"/>
    <w:rsid w:val="44EE629A"/>
    <w:rsid w:val="4517434D"/>
    <w:rsid w:val="45290F66"/>
    <w:rsid w:val="45413DFD"/>
    <w:rsid w:val="458E1B25"/>
    <w:rsid w:val="46F224F1"/>
    <w:rsid w:val="470D5B9F"/>
    <w:rsid w:val="474A22AA"/>
    <w:rsid w:val="47E524E0"/>
    <w:rsid w:val="4860600B"/>
    <w:rsid w:val="4873716A"/>
    <w:rsid w:val="48B122FB"/>
    <w:rsid w:val="495906E1"/>
    <w:rsid w:val="49624874"/>
    <w:rsid w:val="496C7652"/>
    <w:rsid w:val="49FD6C71"/>
    <w:rsid w:val="4A0842C1"/>
    <w:rsid w:val="4ACA41D4"/>
    <w:rsid w:val="4AD72DEE"/>
    <w:rsid w:val="4AE239CC"/>
    <w:rsid w:val="4B7A2929"/>
    <w:rsid w:val="4BB16EEF"/>
    <w:rsid w:val="4BB308C1"/>
    <w:rsid w:val="4D235647"/>
    <w:rsid w:val="4D761E2D"/>
    <w:rsid w:val="4DBA440F"/>
    <w:rsid w:val="4DD93651"/>
    <w:rsid w:val="4E1C41B2"/>
    <w:rsid w:val="4E9563FB"/>
    <w:rsid w:val="4F472002"/>
    <w:rsid w:val="4F92297F"/>
    <w:rsid w:val="4FE9329C"/>
    <w:rsid w:val="4FFE3E1D"/>
    <w:rsid w:val="50255A1F"/>
    <w:rsid w:val="50393156"/>
    <w:rsid w:val="5061150F"/>
    <w:rsid w:val="50D531EC"/>
    <w:rsid w:val="51267CC7"/>
    <w:rsid w:val="513545B7"/>
    <w:rsid w:val="51C21231"/>
    <w:rsid w:val="523A7692"/>
    <w:rsid w:val="5295690B"/>
    <w:rsid w:val="52DB4C0C"/>
    <w:rsid w:val="52ED4D9B"/>
    <w:rsid w:val="530C1269"/>
    <w:rsid w:val="53114AD1"/>
    <w:rsid w:val="534A4FB9"/>
    <w:rsid w:val="535B4DE9"/>
    <w:rsid w:val="536B2F01"/>
    <w:rsid w:val="53C52D94"/>
    <w:rsid w:val="54326E8A"/>
    <w:rsid w:val="54353276"/>
    <w:rsid w:val="548062A4"/>
    <w:rsid w:val="553706EB"/>
    <w:rsid w:val="5562296B"/>
    <w:rsid w:val="55C776C9"/>
    <w:rsid w:val="55CC2437"/>
    <w:rsid w:val="55D372E8"/>
    <w:rsid w:val="562F41C2"/>
    <w:rsid w:val="56B15C42"/>
    <w:rsid w:val="56CC4D76"/>
    <w:rsid w:val="570606C5"/>
    <w:rsid w:val="57AD12BC"/>
    <w:rsid w:val="57EF3BD4"/>
    <w:rsid w:val="580E7C59"/>
    <w:rsid w:val="58C70A30"/>
    <w:rsid w:val="591B0458"/>
    <w:rsid w:val="5949510A"/>
    <w:rsid w:val="59495621"/>
    <w:rsid w:val="599124C8"/>
    <w:rsid w:val="5A061CF3"/>
    <w:rsid w:val="5AB752E1"/>
    <w:rsid w:val="5AE20ED1"/>
    <w:rsid w:val="5B61236E"/>
    <w:rsid w:val="5BEE5F28"/>
    <w:rsid w:val="5BEF3A8F"/>
    <w:rsid w:val="5C0963CE"/>
    <w:rsid w:val="5C261656"/>
    <w:rsid w:val="5C85148E"/>
    <w:rsid w:val="5CA16EC6"/>
    <w:rsid w:val="5CEB6F53"/>
    <w:rsid w:val="5D221AE7"/>
    <w:rsid w:val="5DCB39AA"/>
    <w:rsid w:val="5DCC6423"/>
    <w:rsid w:val="5E0C782C"/>
    <w:rsid w:val="5E472FDC"/>
    <w:rsid w:val="5E510478"/>
    <w:rsid w:val="5E543AC4"/>
    <w:rsid w:val="5EEB03CB"/>
    <w:rsid w:val="5F0977F9"/>
    <w:rsid w:val="5F8132F0"/>
    <w:rsid w:val="5FC559AE"/>
    <w:rsid w:val="5FEA17A7"/>
    <w:rsid w:val="611C17E3"/>
    <w:rsid w:val="611C70C4"/>
    <w:rsid w:val="614330B7"/>
    <w:rsid w:val="61E138C1"/>
    <w:rsid w:val="61EE522D"/>
    <w:rsid w:val="61F640AC"/>
    <w:rsid w:val="62A734E8"/>
    <w:rsid w:val="63273CE2"/>
    <w:rsid w:val="63D3192F"/>
    <w:rsid w:val="63F17B2B"/>
    <w:rsid w:val="642A6415"/>
    <w:rsid w:val="646A0BE9"/>
    <w:rsid w:val="646E2E54"/>
    <w:rsid w:val="64A84C97"/>
    <w:rsid w:val="65077C97"/>
    <w:rsid w:val="65270184"/>
    <w:rsid w:val="65493C57"/>
    <w:rsid w:val="65736F26"/>
    <w:rsid w:val="65BF14FC"/>
    <w:rsid w:val="65DC06B2"/>
    <w:rsid w:val="66331F5B"/>
    <w:rsid w:val="67463567"/>
    <w:rsid w:val="67696E8F"/>
    <w:rsid w:val="67A506C3"/>
    <w:rsid w:val="67D27072"/>
    <w:rsid w:val="67E567F3"/>
    <w:rsid w:val="686063AA"/>
    <w:rsid w:val="68FF2C52"/>
    <w:rsid w:val="6932738D"/>
    <w:rsid w:val="695D4175"/>
    <w:rsid w:val="69FA1037"/>
    <w:rsid w:val="6A123A14"/>
    <w:rsid w:val="6A334ED5"/>
    <w:rsid w:val="6A771286"/>
    <w:rsid w:val="6A94006A"/>
    <w:rsid w:val="6A967C19"/>
    <w:rsid w:val="6AA31459"/>
    <w:rsid w:val="6AAF4B97"/>
    <w:rsid w:val="6ACD604F"/>
    <w:rsid w:val="6B184A21"/>
    <w:rsid w:val="6B9F6182"/>
    <w:rsid w:val="6C5A23DB"/>
    <w:rsid w:val="6C8F0A29"/>
    <w:rsid w:val="6C9824B9"/>
    <w:rsid w:val="6CC002AD"/>
    <w:rsid w:val="6CCE6BBD"/>
    <w:rsid w:val="6CD17894"/>
    <w:rsid w:val="6D0914F3"/>
    <w:rsid w:val="6D565020"/>
    <w:rsid w:val="6D635AD2"/>
    <w:rsid w:val="6D8F625A"/>
    <w:rsid w:val="6DAA33EF"/>
    <w:rsid w:val="6DD134BB"/>
    <w:rsid w:val="6DD81838"/>
    <w:rsid w:val="6E20323A"/>
    <w:rsid w:val="6E31210E"/>
    <w:rsid w:val="6E71421E"/>
    <w:rsid w:val="6F401113"/>
    <w:rsid w:val="6F47651F"/>
    <w:rsid w:val="6F780080"/>
    <w:rsid w:val="703674CE"/>
    <w:rsid w:val="709A3F00"/>
    <w:rsid w:val="70B623BC"/>
    <w:rsid w:val="712F0AD2"/>
    <w:rsid w:val="71A96764"/>
    <w:rsid w:val="71AD6C8E"/>
    <w:rsid w:val="71B8286E"/>
    <w:rsid w:val="72B2653C"/>
    <w:rsid w:val="732764FB"/>
    <w:rsid w:val="73946B2F"/>
    <w:rsid w:val="74576EE0"/>
    <w:rsid w:val="748070FC"/>
    <w:rsid w:val="74B8340E"/>
    <w:rsid w:val="74BC1E14"/>
    <w:rsid w:val="75FA729D"/>
    <w:rsid w:val="76C543E8"/>
    <w:rsid w:val="77025C02"/>
    <w:rsid w:val="771E02F9"/>
    <w:rsid w:val="77A576CA"/>
    <w:rsid w:val="785D67BD"/>
    <w:rsid w:val="78903D77"/>
    <w:rsid w:val="789F5C2E"/>
    <w:rsid w:val="78BE62B2"/>
    <w:rsid w:val="793D02F4"/>
    <w:rsid w:val="79576B39"/>
    <w:rsid w:val="79E24222"/>
    <w:rsid w:val="79E355ED"/>
    <w:rsid w:val="7A022808"/>
    <w:rsid w:val="7A3309A2"/>
    <w:rsid w:val="7A4D5F33"/>
    <w:rsid w:val="7AD65B35"/>
    <w:rsid w:val="7B050F64"/>
    <w:rsid w:val="7B8A47A6"/>
    <w:rsid w:val="7B9F061D"/>
    <w:rsid w:val="7BC95581"/>
    <w:rsid w:val="7BF15DB3"/>
    <w:rsid w:val="7C0D4A92"/>
    <w:rsid w:val="7C71090E"/>
    <w:rsid w:val="7C981F04"/>
    <w:rsid w:val="7CD4288D"/>
    <w:rsid w:val="7D083FA0"/>
    <w:rsid w:val="7DEA794F"/>
    <w:rsid w:val="7E2E4C53"/>
    <w:rsid w:val="7E7979E4"/>
    <w:rsid w:val="7EBA5233"/>
    <w:rsid w:val="7EC21B12"/>
    <w:rsid w:val="7EEB157F"/>
    <w:rsid w:val="7F6649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left"/>
    </w:pPr>
    <w:rPr>
      <w:rFonts w:ascii="Times New Roman" w:hAnsi="Times New Roman" w:eastAsia="仿宋" w:cstheme="minorBidi"/>
      <w:kern w:val="2"/>
      <w:sz w:val="32"/>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2330</Words>
  <Characters>2568</Characters>
  <Lines>1</Lines>
  <Paragraphs>1</Paragraphs>
  <TotalTime>803</TotalTime>
  <ScaleCrop>false</ScaleCrop>
  <LinksUpToDate>false</LinksUpToDate>
  <CharactersWithSpaces>2614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2023-12-11T07:38:00Z</dcterms:created>
  <dc:creator>国旗</dc:creator>
  <cp:lastModifiedBy>国旗</cp:lastModifiedBy>
  <dcterms:modified xsi:type="dcterms:W3CDTF">2025-12-04T06:48:14Z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95BFE71D04B847A79B5FA53CAA3196F2_13</vt:lpwstr>
  </property>
  <property fmtid="{D5CDD505-2E9C-101B-9397-08002B2CF9AE}" pid="4" name="KSOTemplateDocerSaveRecord">
    <vt:lpwstr>eyJoZGlkIjoiZWFlNjQ3NDIwZDEwN2RkZjI5ZmVhOGI2NjVlYTBkMTciLCJ1c2VySWQiOiIxMzgyMTM1ODU2In0=</vt:lpwstr>
  </property>
</Properties>
</file>