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361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华文楷体" w:hAnsi="华文楷体" w:eastAsia="华文楷体" w:cs="华文楷体"/>
          <w:b/>
          <w:bCs/>
          <w:snapToGrid w:val="0"/>
          <w:color w:val="548235" w:themeColor="accent6" w:themeShade="BF"/>
          <w:kern w:val="0"/>
          <w:sz w:val="28"/>
          <w:szCs w:val="28"/>
          <w:lang w:val="en-US" w:eastAsia="zh-CN" w:bidi="ar"/>
        </w:rPr>
      </w:pPr>
    </w:p>
    <w:p w14:paraId="287E5B2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仿宋" w:cs="Times New Roman"/>
          <w:color w:val="04AC5C"/>
          <w:sz w:val="32"/>
          <w:szCs w:val="24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lang w:val="en-US" w:eastAsia="zh-CN" w:bidi="ar"/>
        </w:rPr>
        <w:t>第125期</w:t>
      </w:r>
    </w:p>
    <w:p w14:paraId="62D56D6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 w:hAnsi="Times New Roman" w:eastAsia="仿宋" w:cs="Times New Roman"/>
          <w:color w:val="04AC5C"/>
          <w:sz w:val="21"/>
          <w:szCs w:val="24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2026年2月</w:t>
      </w:r>
    </w:p>
    <w:p w14:paraId="59B0599D">
      <w:pPr>
        <w:keepNext/>
        <w:keepLines/>
        <w:widowControl w:val="0"/>
        <w:numPr>
          <w:ilvl w:val="0"/>
          <w:numId w:val="0"/>
        </w:numPr>
        <w:bidi w:val="0"/>
        <w:spacing w:before="260" w:beforeLines="0" w:beforeAutospacing="0" w:after="260" w:afterLines="0" w:afterAutospacing="0" w:line="413" w:lineRule="auto"/>
        <w:jc w:val="left"/>
        <w:outlineLvl w:val="1"/>
        <w:rPr>
          <w:rFonts w:hint="default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每周资讯|新一轮设备更新已陆续启动；IDC预计全球智能手机市场今年将萎缩13%；金安国纪拟募资13亿元扩产..</w:t>
      </w:r>
    </w:p>
    <w:p w14:paraId="4E1614DA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行业</w:t>
      </w:r>
    </w:p>
    <w:p w14:paraId="75977C15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2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24"/>
          <w:lang w:val="en-US" w:eastAsia="zh-CN"/>
        </w:rPr>
        <w:t>新一轮设备更新已陆续启动</w:t>
      </w:r>
    </w:p>
    <w:p w14:paraId="33825C44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22日，我国今年继续推进大规模设备更新，多个领域的设备更新项目加快落地。为激发假日消费活力、保障社会民生提供更加有力的支撑。线下消费商业设施的设备更新，在今年被首度纳入设备更新政策当中。在这个春节假期，上海、浙江、四川等地的一批商业综合体，在完成设备更新后首度与消费者见面。商场里的老化电子屏被换成新的LED屏，卫生间和客梯进行了无障碍改造，通风、照明、配电等设备也都焕然一新。</w:t>
      </w: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(央视新闻)</w:t>
      </w:r>
    </w:p>
    <w:p w14:paraId="7ABB717D">
      <w:pPr>
        <w:spacing w:line="360" w:lineRule="auto"/>
        <w:jc w:val="left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</w:p>
    <w:p w14:paraId="54FED2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广东举行2026年高质量发展大会新闻发布会</w:t>
      </w:r>
    </w:p>
    <w:p w14:paraId="76B2C3B0"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2月24日，广东省高质量发展大会在广州召开。新快报记者了解到，本次全省高质量发展大会聚焦“制造业与服务业协同发展”，会期一天。当天上午将举行全体大会，下午将围绕产业融合与政策创新、科技创新赋能产业融合、金融创新赋能产业融合、智能制造与工业互联网、数字经济与贸易新业态、“百千万工程”县域产业融合与高质量发展等主题举行分会场会议。</w:t>
      </w:r>
      <w:r>
        <w:rPr>
          <w:rFonts w:hint="default" w:ascii="Times New Roman" w:hAnsi="Times New Roman" w:eastAsia="仿宋" w:cs="Times New Roman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广东省人民政府新闻办公室</w:t>
      </w:r>
      <w:r>
        <w:rPr>
          <w:rFonts w:hint="default" w:ascii="Times New Roman" w:hAnsi="Times New Roman" w:eastAsia="仿宋" w:cs="Times New Roman"/>
          <w:sz w:val="32"/>
          <w:szCs w:val="24"/>
          <w:lang w:eastAsia="zh-CN"/>
        </w:rPr>
        <w:t>）</w:t>
      </w:r>
    </w:p>
    <w:p w14:paraId="19DE262A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</w:p>
    <w:p w14:paraId="0EB309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河南推出2026年“两新”实施方案</w:t>
      </w:r>
    </w:p>
    <w:p w14:paraId="07841AAF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2月26日，河南省发展改革委网站近日发布《河南省2026年推动大规模设备更新和消费品以旧换新实施方案》，提出到2026年底，力争完成个人消费者汽车报废和置换更新50万辆左右，家电产品以旧换新500万台左右，并进一步释放数码和智能产品等消费潜力。在设备更新方面，《方案》支持范围广泛，涵盖工业、能源电力、交通运输、物流、教育、文旅、医疗、设施农业、住宅老旧电梯等多个领域。特别提到支持商业综合体、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购物中心等线下消费商业设施设备更新。(河南税务)</w:t>
      </w:r>
    </w:p>
    <w:p w14:paraId="156C9588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市场</w:t>
      </w:r>
    </w:p>
    <w:p w14:paraId="7C8E59C1">
      <w:pPr>
        <w:spacing w:line="360" w:lineRule="auto"/>
        <w:jc w:val="left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</w:p>
    <w:p w14:paraId="2C521472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乘联会：全国乘用车市场1月末库存337万台、库存54天</w:t>
      </w:r>
    </w:p>
    <w:p w14:paraId="7C6138AF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26日，据乘联会，1月的新能源走势不强，导致1月末全国乘用车库存下降到337万台，其中厂家库存73万台，渠道库存264万台，厂家库存占比21.6%。由于2024年春节前零售总体相对较好，但春节后需要修整回暖期，因此目前1月末337万台的库存支持未来销售天数是54天，较去年1月的64天下降较好。（新华网）</w:t>
      </w:r>
    </w:p>
    <w:p w14:paraId="0A6CCC96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33A15B1C">
      <w:pPr>
        <w:spacing w:line="360" w:lineRule="auto"/>
        <w:ind w:firstLine="643" w:firstLineChars="20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IDC预计全球智能手机市场今年将萎缩13%，因存储芯片短缺危机</w:t>
      </w:r>
    </w:p>
    <w:p w14:paraId="3773793A">
      <w:pPr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27日，研究机构IDC表示，受前所未有的存储芯片短缺影响，2026年全球智能手机市场将萎缩12.9%，标志着一场“前所未有的危机”。IDC目前预计，2026年全球手机出货量约为11亿部，低于上一年的12.6亿部，抹去了数年来的增长。面对居高不下的零部件成本，智能手机制造商正通过削减配置、取消无利可图的入门级机型，推动消费者购买更多高端设备来加以应对。（IDC）</w:t>
      </w:r>
    </w:p>
    <w:p w14:paraId="687CE414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25DBDAD7">
      <w:pPr>
        <w:spacing w:line="360" w:lineRule="auto"/>
        <w:ind w:firstLine="643" w:firstLineChars="20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2025年全国光伏新增装机同比增长14%</w:t>
      </w:r>
    </w:p>
    <w:p w14:paraId="392183C8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21日发布数据显示，2025年，全国光伏新增装机3.17亿千瓦，同比增长14%，其中集中式光伏新增1.64亿千瓦，分布式光伏新增1.53亿千瓦。截至2025年12月，全国光伏发电装机容量达到12亿千瓦，同比增长35%，我国光伏产业保持快速发展势头，能源绿色低碳转型取得显著成效。（国家能源局）</w:t>
      </w:r>
    </w:p>
    <w:p w14:paraId="4D02DBEA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企业</w:t>
      </w:r>
    </w:p>
    <w:p w14:paraId="7BBFDE17">
      <w:pPr>
        <w:spacing w:line="360" w:lineRule="auto"/>
        <w:jc w:val="center"/>
        <w:rPr>
          <w:rFonts w:hint="default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Mac mini开启美国本土制造，苹果今年将从台积电美国厂采购1亿颗芯片！</w:t>
      </w:r>
    </w:p>
    <w:p w14:paraId="03F2417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2月24日，苹果CEO蒂姆·库克称，Mac mini将于今年晚些时候首次在美国进行生产。知名苹果爆料人马克·古尔曼表示，苹果酝酿已久的触控笔记本即将面世，并将首次把iPhone上标志性的“灵动岛”引入Mac界面。古尔曼称，苹果将在3月份第一周发布一系列新品，但触屏版MacBook Pro不会在这次发布中亮相。这两款内部代号为K114和K116的机型，预计将在年底前后上市。（蓝鲸新闻）</w:t>
      </w:r>
    </w:p>
    <w:p w14:paraId="62A5C3F7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3D7A82BE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SK海力士拟在韩国投资150亿美元，以扩建芯片产能</w:t>
      </w:r>
    </w:p>
    <w:p w14:paraId="4C8F5A4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25日，韩国存储芯片巨头SK海力士表示，计划到2030年前在韩国龙仁市投资21.6万亿韩元（约150.7亿美元），新建芯片生产线，以满足日益增长的半导体需求。据悉，这笔资金将用于在龙仁半导体产业集群为第一间工厂建设新设施，并为第二至第六期工程建造5间洁净室。投资期为2026年3月至2030年12月。（财联社）</w:t>
      </w:r>
    </w:p>
    <w:p w14:paraId="68B21210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7CF2C053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金安国纪2025年业绩预增超6倍，拟募资13亿元扩产</w:t>
      </w:r>
    </w:p>
    <w:p w14:paraId="6117B37C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2月26日，公司公告拟向不超过35名特定对象发行A股股票，募集资金不超过13亿元，用于年产4000万平方米高等级覆铜板项目及研发中心建设。该计划需经深圳证券交易所审核及中国证监会注册后方可实施。公司于2026年1月21日发布业绩预告，预计2025年归母净利润为2.8亿至3.6亿元，同比增长655.53%至871.40%，主要因覆铜板市场行情好转、产销增长及产品结构优化。（证券之星）</w:t>
      </w:r>
    </w:p>
    <w:p w14:paraId="4B5FE090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0838DD01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万源通披露泰国子公司注册资本增至7.8509亿泰铢</w:t>
      </w:r>
    </w:p>
    <w:p w14:paraId="0C957718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 xml:space="preserve"> 2月25日，万源通披露《关于泰国子公司进展情况的公告》。公告显示，公司于2026年2月13日完成泰国子公司注册证书信息变更，注册资本由3.88亿泰铢增至7.8509亿泰铢，以满足生产基地建设及运营资金需求。公司已于2025年5月6日经董事会审议通过设立泰国子公司事项，并已陆续披露相关进展。除注册资本变更外，其他登记事项未发生变化。公告同时提示，泰国法律、政策、商业环境等与国内存在差异，泰国子公司在设立、建设及运营过程中可能存在管理、运营和市场风险，投资效果存在不确定性。（每日经济新闻）</w:t>
      </w:r>
    </w:p>
    <w:p w14:paraId="5F45228F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66BFAE56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景旺电子AI服务器和高端智能汽车HDI项目主体工程顺利封顶</w:t>
      </w:r>
    </w:p>
    <w:p w14:paraId="278F941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24"/>
          <w:highlight w:val="none"/>
          <w:lang w:val="en-US" w:eastAsia="zh-CN"/>
        </w:rPr>
        <w:t>2月11日，景旺电子AI服务器和高端智能汽车HDI项目主体工程封顶仪式在珠海隆重举行。景旺电子项目组相关领导、项目团队、施工单位、监理单位、设计单位及相关部门代表共同见证了这一重要时刻。自2025年8月26日开工以来，景旺电子项目团队在地方政府大力支持与各参建单位通力协作下，成功应对地质条件复杂、强台风及频繁强降雨等多重挑战。通过科学统筹高效推进项目，在保障安全、质量与进度的前提下，提前实现春节前主体结构封顶的重要里程碑。</w:t>
      </w: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（证券时报）</w:t>
      </w:r>
    </w:p>
    <w:p w14:paraId="22417B2E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4D130065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奥士康拟募集资金总额不超过10亿元，用于高端印制电路板项目</w:t>
      </w:r>
    </w:p>
    <w:p w14:paraId="2A5E7CBA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24"/>
          <w:highlight w:val="none"/>
          <w:lang w:val="en-US" w:eastAsia="zh-CN"/>
        </w:rPr>
        <w:t>2月24日，奥士康科技股份有限公司披露《向不特定对象发行可转换公司债券并在主板上市募集说明书(注册稿)》。公告显示，公司拟向不特定对象发行可转换公司债券并在主板上市，募集资金总额不超过10亿元，用于高端印制电路板项目。本次可转债信用等级为AA，不设担保。公司最近三年累计现金分红占年均可分配利润比例为128.59%，符合分红政策。报告期内境外收入占比超六成，汇率波动可能影响业绩。最近三年平均可分配利润足以支付债券一年利息。</w:t>
      </w: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（证券时报）</w:t>
      </w:r>
    </w:p>
    <w:p w14:paraId="452C8668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75F646C9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040" cy="3502660"/>
            <wp:effectExtent l="0" t="0" r="10160" b="2540"/>
            <wp:docPr id="2" name="图片 2" descr="edd44b14db9bc0cd9628a36ef9281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d44b14db9bc0cd9628a36ef92810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A3C8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更多精彩内容请扫描下方二维码，关注CPCA服务号</w:t>
      </w:r>
    </w:p>
    <w:p w14:paraId="70D08752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2387C8E8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044B3D61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24"/>
        </w:rP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CD8E"/>
    <w:sectPr>
      <w:headerReference r:id="rId3" w:type="default"/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4FE4">
    <w:pPr>
      <w:pStyle w:val="4"/>
      <w:pBdr>
        <w:bottom w:val="none" w:color="auto" w:sz="0" w:space="0"/>
      </w:pBdr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69215</wp:posOffset>
          </wp:positionV>
          <wp:extent cx="6782435" cy="513080"/>
          <wp:effectExtent l="0" t="0" r="0" b="1270"/>
          <wp:wrapTight wrapText="bothSides">
            <wp:wrapPolygon>
              <wp:start x="15713" y="0"/>
              <wp:lineTo x="0" y="0"/>
              <wp:lineTo x="0" y="18446"/>
              <wp:lineTo x="5703" y="20851"/>
              <wp:lineTo x="21477" y="20851"/>
              <wp:lineTo x="21477" y="17644"/>
              <wp:lineTo x="20203" y="13634"/>
              <wp:lineTo x="19232" y="12832"/>
              <wp:lineTo x="21355" y="8822"/>
              <wp:lineTo x="21477" y="4812"/>
              <wp:lineTo x="20809" y="0"/>
              <wp:lineTo x="15713" y="0"/>
            </wp:wrapPolygon>
          </wp:wrapTight>
          <wp:docPr id="1" name="图片 1" descr="C:\Users\Administrator\Desktop\未标题-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未标题-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25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87"/>
    <w:rsid w:val="00065C06"/>
    <w:rsid w:val="0035113B"/>
    <w:rsid w:val="003A66A4"/>
    <w:rsid w:val="004F2A87"/>
    <w:rsid w:val="006B3D1E"/>
    <w:rsid w:val="007065AE"/>
    <w:rsid w:val="0073199B"/>
    <w:rsid w:val="007456A0"/>
    <w:rsid w:val="008355BB"/>
    <w:rsid w:val="009014D3"/>
    <w:rsid w:val="00C372FC"/>
    <w:rsid w:val="00D65DCA"/>
    <w:rsid w:val="00E70812"/>
    <w:rsid w:val="00F70C01"/>
    <w:rsid w:val="00FF5190"/>
    <w:rsid w:val="10CF4D8A"/>
    <w:rsid w:val="21A60DC4"/>
    <w:rsid w:val="25B55B0A"/>
    <w:rsid w:val="264A2919"/>
    <w:rsid w:val="2DC669A6"/>
    <w:rsid w:val="50EA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2639</Words>
  <Characters>2966</Characters>
  <Lines>0</Lines>
  <Paragraphs>0</Paragraphs>
  <TotalTime>711</TotalTime>
  <ScaleCrop>false</ScaleCrop>
  <LinksUpToDate>false</LinksUpToDate>
  <CharactersWithSpaces>3015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2021-09-23T01:41:00Z</dcterms:created>
  <dc:creator>A</dc:creator>
  <cp:lastModifiedBy>国旗</cp:lastModifiedBy>
  <cp:lastPrinted>2021-09-23T03:57:00Z</cp:lastPrinted>
  <dcterms:modified xsi:type="dcterms:W3CDTF">2026-02-27T05:42:57Z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eyJoZGlkIjoiZWFlNjQ3NDIwZDEwN2RkZjI5ZmVhOGI2NjVlYTBkMTciLCJ1c2VySWQiOiIxMzgyMTM1ODU2In0=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D498A8104F384D50B2FEB6F17A43A263_13</vt:lpwstr>
  </property>
</Properties>
</file>