
<file path=[Content_Types].xml><?xml version="1.0" encoding="utf-8"?>
<Types xmlns="http://schemas.openxmlformats.org/package/2006/content-types">
  <Default Extension="wmf" ContentType="image/x-wmf"/>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E3612">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eastAsia" w:ascii="华文楷体" w:hAnsi="华文楷体" w:eastAsia="华文楷体" w:cs="华文楷体"/>
          <w:b/>
          <w:bCs/>
          <w:snapToGrid w:val="0"/>
          <w:color w:val="548235" w:themeColor="accent6" w:themeShade="BF"/>
          <w:kern w:val="0"/>
          <w:sz w:val="28"/>
          <w:szCs w:val="28"/>
          <w:lang w:val="en-US" w:eastAsia="zh-CN" w:bidi="ar"/>
        </w:rPr>
      </w:pPr>
      <w:bookmarkStart w:id="0" w:name="_GoBack"/>
      <w:bookmarkEnd w:id="0"/>
    </w:p>
    <w:p w14:paraId="287E5B25">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ascii="Times New Roman" w:hAnsi="Times New Roman" w:eastAsia="仿宋" w:cs="Times New Roman"/>
          <w:color w:val="04AC5C"/>
          <w:sz w:val="32"/>
          <w:szCs w:val="24"/>
          <w:lang w:val="en-US"/>
        </w:rPr>
      </w:pPr>
      <w:r>
        <w:rPr>
          <w:rFonts w:hint="eastAsia" w:ascii="华文楷体" w:hAnsi="华文楷体" w:eastAsia="华文楷体" w:cs="华文楷体"/>
          <w:b/>
          <w:bCs/>
          <w:snapToGrid w:val="0"/>
          <w:color w:val="04AC5C"/>
          <w:kern w:val="0"/>
          <w:sz w:val="28"/>
          <w:szCs w:val="28"/>
          <w:lang w:val="en-US" w:eastAsia="zh-CN" w:bidi="ar"/>
        </w:rPr>
        <w:t>第129期</w:t>
      </w:r>
    </w:p>
    <w:p w14:paraId="62D56D6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hAnsi="Times New Roman" w:eastAsia="仿宋" w:cs="Times New Roman"/>
          <w:color w:val="04AC5C"/>
          <w:sz w:val="21"/>
          <w:szCs w:val="24"/>
          <w:lang w:val="en-US"/>
        </w:rPr>
      </w:pPr>
      <w:r>
        <w:rPr>
          <w:rFonts w:ascii="华文楷体" w:hAnsi="华文楷体" w:eastAsia="华文楷体" w:cs="华文楷体"/>
          <w:b/>
          <w:bCs/>
          <w:snapToGrid w:val="0"/>
          <w:color w:val="04AC5C"/>
          <w:kern w:val="0"/>
          <w:sz w:val="28"/>
          <w:szCs w:val="28"/>
          <w:u w:val="single" w:color="auto"/>
          <w:lang w:val="en-US" w:eastAsia="zh-CN" w:bidi="ar"/>
        </w:rPr>
        <w:t>信息部</w:t>
      </w:r>
      <w:r>
        <w:rPr>
          <w:rFonts w:hint="eastAsia" w:ascii="华文楷体" w:hAnsi="华文楷体" w:eastAsia="华文楷体" w:cs="华文楷体"/>
          <w:b/>
          <w:bCs/>
          <w:snapToGrid w:val="0"/>
          <w:color w:val="04AC5C"/>
          <w:kern w:val="0"/>
          <w:sz w:val="28"/>
          <w:szCs w:val="28"/>
          <w:u w:val="single" w:color="auto"/>
          <w:lang w:val="en-US" w:eastAsia="zh-CN" w:bidi="ar"/>
        </w:rPr>
        <w:t xml:space="preserve">                                            2026年3月</w:t>
      </w:r>
    </w:p>
    <w:p w14:paraId="59B0599D">
      <w:pPr>
        <w:keepNext/>
        <w:keepLines/>
        <w:widowControl w:val="0"/>
        <w:numPr>
          <w:ilvl w:val="0"/>
          <w:numId w:val="0"/>
        </w:numPr>
        <w:bidi w:val="0"/>
        <w:spacing w:before="260" w:beforeLines="0" w:beforeAutospacing="0" w:after="260" w:afterLines="0" w:afterAutospacing="0" w:line="413" w:lineRule="auto"/>
        <w:jc w:val="left"/>
        <w:outlineLvl w:val="1"/>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每周资讯|前2个月全国规模以上工业企业利润同比增长15.2%；SpaceX即将提交IPO申请；景旺电子拟增资不超过7亿元于泰国生产基地.</w:t>
      </w:r>
    </w:p>
    <w:p w14:paraId="4E1614DA">
      <w:pPr>
        <w:keepNext/>
        <w:keepLines/>
        <w:widowControl w:val="0"/>
        <w:numPr>
          <w:ilvl w:val="0"/>
          <w:numId w:val="1"/>
        </w:numPr>
        <w:bidi w:val="0"/>
        <w:spacing w:before="260" w:beforeLines="0" w:beforeAutospacing="0" w:after="260" w:afterLines="0" w:afterAutospacing="0" w:line="413" w:lineRule="auto"/>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行业</w:t>
      </w:r>
    </w:p>
    <w:p w14:paraId="75977C15">
      <w:pPr>
        <w:spacing w:line="360" w:lineRule="auto"/>
        <w:jc w:val="center"/>
        <w:rPr>
          <w:rFonts w:hint="default" w:ascii="黑体" w:hAnsi="黑体" w:eastAsia="黑体" w:cs="黑体"/>
          <w:b/>
          <w:bCs/>
          <w:sz w:val="32"/>
          <w:szCs w:val="24"/>
          <w:lang w:val="en-US" w:eastAsia="zh-CN"/>
        </w:rPr>
      </w:pPr>
      <w:r>
        <w:rPr>
          <w:rFonts w:hint="default" w:ascii="黑体" w:hAnsi="黑体" w:eastAsia="黑体" w:cs="黑体"/>
          <w:b/>
          <w:bCs/>
          <w:sz w:val="32"/>
          <w:szCs w:val="24"/>
          <w:lang w:val="en-US" w:eastAsia="zh-CN"/>
        </w:rPr>
        <w:t>中国国家创新指数综合排名世界第9位</w:t>
      </w:r>
    </w:p>
    <w:p w14:paraId="7ABB717D">
      <w:pPr>
        <w:spacing w:line="360" w:lineRule="auto"/>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 xml:space="preserve">   3月29日，中国科学技术发展战略研究院在2026中关村论坛年会上发布《国家创新指数报告2025》，从创新资源、知识创造、企业创新、创新绩效、创新治理5个方面构建指标体系，对世界60个国家创新能力开展评价。结果显示，中国国家创新指数综合排名世界第九，较上年提升1位。（环球播报）</w:t>
      </w:r>
    </w:p>
    <w:p w14:paraId="580A0AF9">
      <w:pPr>
        <w:spacing w:line="360" w:lineRule="auto"/>
        <w:jc w:val="left"/>
        <w:rPr>
          <w:rFonts w:hint="default" w:ascii="Times New Roman" w:hAnsi="Times New Roman" w:eastAsia="仿宋" w:cs="Times New Roman"/>
          <w:sz w:val="32"/>
          <w:szCs w:val="24"/>
          <w:highlight w:val="none"/>
          <w:lang w:val="en-US" w:eastAsia="zh-CN"/>
        </w:rPr>
      </w:pPr>
    </w:p>
    <w:p w14:paraId="54FED2F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德研究报告：中国工业数字化水平全球领先</w:t>
      </w:r>
    </w:p>
    <w:p w14:paraId="19DE262A">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3月28日，据新华社，德国慕尼黑大学和咨询公司MHP联合发布的《2026工业4.0晴雨表》报告显示，中国工业数字化水平处于全球领先地位，在数字孪生技术、人工智能、供应链透明度和自动化等方面表现突出。报告显示，全球工业领域数字化水平继续上升，相关晴雨表指数已由2022年的48%升至目前的68%。其中，中国达到72%，同比提升3个百分点，美国是69%，印度和墨西哥分别为68%和67%。(新华社)</w:t>
      </w:r>
    </w:p>
    <w:p w14:paraId="7BC305D6">
      <w:pPr>
        <w:spacing w:line="360" w:lineRule="auto"/>
        <w:jc w:val="left"/>
        <w:rPr>
          <w:rFonts w:hint="eastAsia" w:ascii="Times New Roman" w:hAnsi="Times New Roman" w:eastAsia="仿宋" w:cs="Times New Roman"/>
          <w:sz w:val="32"/>
          <w:szCs w:val="24"/>
          <w:lang w:val="en-US" w:eastAsia="zh-CN"/>
        </w:rPr>
      </w:pPr>
    </w:p>
    <w:p w14:paraId="0EB30927">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北京2025年人工智能产业规模达4500亿元</w:t>
      </w:r>
    </w:p>
    <w:p w14:paraId="07841AAF">
      <w:pPr>
        <w:spacing w:line="360" w:lineRule="auto"/>
        <w:ind w:firstLine="640" w:firstLineChars="200"/>
        <w:jc w:val="left"/>
        <w:rPr>
          <w:rFonts w:hint="eastAsia" w:ascii="Times New Roman" w:hAnsi="Times New Roman" w:eastAsia="仿宋" w:cs="Times New Roman"/>
          <w:sz w:val="32"/>
          <w:szCs w:val="24"/>
          <w:lang w:val="en-US" w:eastAsia="zh-CN"/>
        </w:rPr>
      </w:pPr>
      <w:r>
        <w:rPr>
          <w:rFonts w:hint="eastAsia" w:ascii="Times New Roman" w:hAnsi="Times New Roman" w:eastAsia="仿宋" w:cs="Times New Roman"/>
          <w:sz w:val="32"/>
          <w:szCs w:val="24"/>
          <w:lang w:val="en-US" w:eastAsia="zh-CN"/>
        </w:rPr>
        <w:t>3月29日，2026中关村论坛年会的“AI未来论坛：跃迁·投资·共生”现场披露，北京2025年人工智能产业规模达4500亿元，占全国半数，企业数量突破2500家。其中，人工智能上市公司超60家，市值超千亿元企业15家；人工智能独角兽企业约40家，占全国超半数。与此同时，2025年北京有243起人工智能相关领域的投资，融资规模达到280亿元，占全国超过40%。(中国经济网)</w:t>
      </w:r>
    </w:p>
    <w:p w14:paraId="156C9588">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市场</w:t>
      </w:r>
    </w:p>
    <w:p w14:paraId="7C8E59C1">
      <w:pPr>
        <w:spacing w:line="360" w:lineRule="auto"/>
        <w:jc w:val="left"/>
        <w:rPr>
          <w:rFonts w:hint="default" w:ascii="Times New Roman" w:hAnsi="Times New Roman" w:eastAsia="仿宋" w:cs="Times New Roman"/>
          <w:sz w:val="32"/>
          <w:szCs w:val="24"/>
          <w:lang w:val="en-US" w:eastAsia="zh-CN"/>
        </w:rPr>
      </w:pPr>
    </w:p>
    <w:p w14:paraId="2C521472">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多家头部电芯企业排产量创历史新高，全球储能装机增速或超40%</w:t>
      </w:r>
    </w:p>
    <w:p w14:paraId="0A6CCC96">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30日，Wind数据显示，多家头部电芯企业开年以来排产量创历史新高，有的企业整个马年春节假期都没有停产。2月份，用于大型储能电站的4小时储能系统中标均价已回到0.5元/Wh以上。多家机构已形成共识，2026年全球储能装机同比增速不会低于40%。中商产业研究院近日撰文提出，在全球能源转型与AI算力需求爆发的背景下，2026年全球新型储能装机预计将保持超过60%的高增长，这为中国储能产业带来明确机遇。海外市场的旺盛需求已成为拉动中国储能电池出口的核心驱动力。 (WIND)</w:t>
      </w:r>
    </w:p>
    <w:p w14:paraId="43A9EA19">
      <w:pPr>
        <w:spacing w:line="360" w:lineRule="auto"/>
        <w:jc w:val="left"/>
        <w:rPr>
          <w:rFonts w:hint="eastAsia" w:ascii="Times New Roman" w:hAnsi="Times New Roman" w:eastAsia="仿宋" w:cs="Times New Roman"/>
          <w:sz w:val="32"/>
          <w:szCs w:val="24"/>
          <w:highlight w:val="none"/>
          <w:lang w:val="en-US" w:eastAsia="zh-CN"/>
        </w:rPr>
      </w:pPr>
    </w:p>
    <w:p w14:paraId="33A15B1C">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前2个月全国规模以上工业企业利润同比增长15.2%</w:t>
      </w:r>
    </w:p>
    <w:p w14:paraId="3773793A">
      <w:pPr>
        <w:spacing w:line="360" w:lineRule="auto"/>
        <w:ind w:firstLine="640" w:firstLineChars="200"/>
        <w:jc w:val="left"/>
        <w:rPr>
          <w:rFonts w:hint="default"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27日，国家统计局发布数据显示，1至2月份，全国规模以上工业企业实现利润总额10245.6亿元，同比增长15.2%。“1至2月份，各地区各部门加紧实施更加积极有为的宏观政策，着力发挥存量政策和增量政策的集成效应，规模以上工业企业利润增长加快，多数行业利润回升，装备制造业和高技术制造业利润快速增长，工业企业效益状况呈现持续恢复态势。”国家统计局工业司首席统计师于卫宁说。（金融界）</w:t>
      </w:r>
    </w:p>
    <w:p w14:paraId="687CE414">
      <w:pPr>
        <w:spacing w:line="360" w:lineRule="auto"/>
        <w:jc w:val="left"/>
        <w:rPr>
          <w:rFonts w:hint="eastAsia" w:ascii="Times New Roman" w:hAnsi="Times New Roman" w:eastAsia="仿宋" w:cs="Times New Roman"/>
          <w:sz w:val="32"/>
          <w:szCs w:val="24"/>
          <w:highlight w:val="none"/>
          <w:lang w:val="en-US" w:eastAsia="zh-CN"/>
        </w:rPr>
      </w:pPr>
    </w:p>
    <w:p w14:paraId="25DBDAD7">
      <w:pPr>
        <w:spacing w:line="360" w:lineRule="auto"/>
        <w:ind w:firstLine="643" w:firstLineChars="200"/>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国家能源局：截至2月底，全国累计发电装机容量同比增长15.9%</w:t>
      </w:r>
    </w:p>
    <w:p w14:paraId="392183C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25日，据国家能源局微信公众号消息，国家能源局发布2026年1-2月份全国电力统计数据。截至2月底，全国累计发电装机容量39.5亿千瓦，同比增长15.9%。其中，太阳能发电装机容量12.3亿千瓦，同比增长33.2%；风电装机容量6.5亿千瓦，同比增长22.8%。1-2月份，全国发电设备累计平均利用466小时，比上年同期降低39小时。（国家能源局）</w:t>
      </w:r>
    </w:p>
    <w:p w14:paraId="4D02DBEA">
      <w:pPr>
        <w:keepNext/>
        <w:keepLines/>
        <w:widowControl w:val="0"/>
        <w:numPr>
          <w:ilvl w:val="0"/>
          <w:numId w:val="1"/>
        </w:numPr>
        <w:bidi w:val="0"/>
        <w:spacing w:before="260" w:beforeLines="0" w:beforeAutospacing="0" w:after="260" w:afterLines="0" w:afterAutospacing="0" w:line="413" w:lineRule="auto"/>
        <w:ind w:left="0" w:leftChars="0" w:firstLine="0" w:firstLineChars="0"/>
        <w:jc w:val="left"/>
        <w:outlineLvl w:val="1"/>
        <w:rPr>
          <w:rFonts w:hint="eastAsia" w:ascii="Arial" w:hAnsi="Arial" w:eastAsia="黑体" w:cs="Times New Roman"/>
          <w:b/>
          <w:kern w:val="2"/>
          <w:sz w:val="32"/>
          <w:szCs w:val="24"/>
          <w:lang w:val="en-US" w:eastAsia="zh-CN" w:bidi="ar-SA"/>
        </w:rPr>
      </w:pPr>
      <w:r>
        <w:rPr>
          <w:rFonts w:hint="eastAsia" w:ascii="Arial" w:hAnsi="Arial" w:eastAsia="黑体" w:cs="Times New Roman"/>
          <w:b/>
          <w:kern w:val="2"/>
          <w:sz w:val="32"/>
          <w:szCs w:val="24"/>
          <w:lang w:val="en-US" w:eastAsia="zh-CN" w:bidi="ar-SA"/>
        </w:rPr>
        <w:t>企业</w:t>
      </w:r>
    </w:p>
    <w:p w14:paraId="7BBFDE17">
      <w:pPr>
        <w:spacing w:line="360" w:lineRule="auto"/>
        <w:jc w:val="center"/>
        <w:rPr>
          <w:rFonts w:hint="default"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Meta目前计划在美国AI数据中心投入100亿美元</w:t>
      </w:r>
    </w:p>
    <w:p w14:paraId="03F2417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3月27日，智通财经APP获悉，Meta Platforms将斥资逾100亿美元在得克萨斯州埃尔帕索(El Paso)建设一座数据中心。这一金额较此前预测大幅提高，也是该公司围绕支持其人工智能(AI)雄心所需基础设施展开的一系列重大投资中的最新一项。Meta最初宣布该数据中心时承诺投资15亿美元，但该公司周四在一篇博客文章中表示将增加投资。（智通财经）</w:t>
      </w:r>
    </w:p>
    <w:p w14:paraId="62A5C3F7">
      <w:pPr>
        <w:spacing w:line="360" w:lineRule="auto"/>
        <w:jc w:val="left"/>
        <w:rPr>
          <w:rFonts w:hint="eastAsia" w:ascii="Times New Roman" w:hAnsi="Times New Roman" w:eastAsia="仿宋" w:cs="Times New Roman"/>
          <w:sz w:val="32"/>
          <w:szCs w:val="24"/>
          <w:highlight w:val="none"/>
          <w:lang w:val="en-US" w:eastAsia="zh-CN"/>
        </w:rPr>
      </w:pPr>
    </w:p>
    <w:p w14:paraId="3D7A82BE">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新锐股份规划PCB钻针产能1亿支/月</w:t>
      </w:r>
    </w:p>
    <w:p w14:paraId="4C8F5A4E">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30日，新锐股份拟并购标的慧联电子董事长徐梅花在接受财联社记者采访时表示，为快速响应市场对高端PCB钻针的迫切需求，慧联电子正加速推进产能布局。目前，河南新乡、厦门两大基地厂房建设、烧结炉/磨床/涂层设备等设备自制有序推进、产线安装调试有序进行，部分产线已进入试产阶段。据悉，公司计划到今年年底，实现PCB钻针的产能2000万支/月，2027年将提升至5000万支/月，2028年达到1亿支/月的能力。（财联社）</w:t>
      </w:r>
    </w:p>
    <w:p w14:paraId="68B21210">
      <w:pPr>
        <w:spacing w:line="360" w:lineRule="auto"/>
        <w:jc w:val="left"/>
        <w:rPr>
          <w:rFonts w:hint="eastAsia" w:ascii="Times New Roman" w:hAnsi="Times New Roman" w:eastAsia="仿宋" w:cs="Times New Roman"/>
          <w:sz w:val="32"/>
          <w:szCs w:val="24"/>
          <w:highlight w:val="none"/>
          <w:lang w:val="en-US" w:eastAsia="zh-CN"/>
        </w:rPr>
      </w:pPr>
    </w:p>
    <w:p w14:paraId="7CF2C053">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SpaceX即将提交IPO申请，拟募资金额或创全球最大规模IPO纪录</w:t>
      </w:r>
    </w:p>
    <w:p w14:paraId="6117B37C">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3月25日，美国科技媒体The Information称，SpaceX计划近期向监管机构提交首次公开发行招股说明书。此次秘密提交将正式敲定马斯克旗下这家火箭与通信公司的IPO计划，目标是在6月挂牌上市。参与筹备工作的顾问预计，公司在IPO中或拟募资超750亿美元，高于此前预估的500亿美元。此次IPO将有望成为美国史上规模最大IPO，其体量将远超以往。而2月初，SpaceX全资收购马斯克旗下专注于人工智能的公司xAI，合并后新实体估值达到1.25万亿美元。（证券之星）</w:t>
      </w:r>
    </w:p>
    <w:p w14:paraId="4B5FE090">
      <w:pPr>
        <w:spacing w:line="360" w:lineRule="auto"/>
        <w:jc w:val="left"/>
        <w:rPr>
          <w:rFonts w:hint="eastAsia" w:ascii="Times New Roman" w:hAnsi="Times New Roman" w:eastAsia="仿宋" w:cs="Times New Roman"/>
          <w:sz w:val="32"/>
          <w:szCs w:val="24"/>
          <w:highlight w:val="none"/>
          <w:lang w:val="en-US" w:eastAsia="zh-CN"/>
        </w:rPr>
      </w:pPr>
    </w:p>
    <w:p w14:paraId="0838DD01">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景旺电子：拟对泰国生产基地增加不超过7亿元人民币或等值外币投资额度</w:t>
      </w:r>
    </w:p>
    <w:p w14:paraId="0C957718">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sz w:val="32"/>
          <w:szCs w:val="24"/>
          <w:highlight w:val="none"/>
          <w:lang w:val="en-US" w:eastAsia="zh-CN"/>
        </w:rPr>
        <w:t>3月28日，基于业务拓展和全球生产基地布局的战略需求，公司拟对景旺电子（泰国）印制电路智能制造项目增加不超过7亿元人民币或等值外币的投资额度，投资资金来源于自有资金或银行贷款，增加的投资金额用于包括但不限于装修安装工程、生产线及生产设备扩充等。据公告内容显示，景旺电子2023年便决定以自有资金或自筹资金在泰国新建印制电路板生产基地，原项目计划投资金额不超过7亿元人民币。截至目前，公司已完成子公司设立、土地购买、备案登记等相关手续，泰国生产基地一期厂房主体已封顶，现在进入内部装修和设备安装调试阶段。（财联社）</w:t>
      </w:r>
    </w:p>
    <w:p w14:paraId="5F45228F">
      <w:pPr>
        <w:spacing w:line="360" w:lineRule="auto"/>
        <w:jc w:val="left"/>
        <w:rPr>
          <w:rFonts w:hint="eastAsia" w:ascii="Times New Roman" w:hAnsi="Times New Roman" w:eastAsia="仿宋" w:cs="Times New Roman"/>
          <w:sz w:val="32"/>
          <w:szCs w:val="24"/>
          <w:highlight w:val="none"/>
          <w:lang w:val="en-US" w:eastAsia="zh-CN"/>
        </w:rPr>
      </w:pPr>
    </w:p>
    <w:p w14:paraId="66BFAE56">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天准科技10亿加码高端视觉装备，布局国产替代</w:t>
      </w:r>
    </w:p>
    <w:p w14:paraId="278F9419">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b w:val="0"/>
          <w:bCs w:val="0"/>
          <w:sz w:val="32"/>
          <w:szCs w:val="24"/>
          <w:highlight w:val="none"/>
          <w:lang w:val="en-US" w:eastAsia="zh-CN"/>
        </w:rPr>
        <w:t>3月27日，科创板工业视觉龙头天准科技发布重磅扩产公告，拟以自有或自筹资金，在苏州市虎丘区科技城投建高端视觉装备产业化项目，项目总投资约10亿元（含土地出让金）。根据公告披露，该项目规划占地约92亩，总建筑面积14.6万平方米，建设周期24个月，预计2026年9月正式开工，目前已通过董事会审议，无需提交股东大会。（</w:t>
      </w:r>
      <w:r>
        <w:rPr>
          <w:rFonts w:hint="eastAsia" w:ascii="Times New Roman" w:hAnsi="Times New Roman" w:eastAsia="仿宋" w:cs="Times New Roman"/>
          <w:sz w:val="32"/>
          <w:szCs w:val="24"/>
          <w:highlight w:val="none"/>
          <w:lang w:val="en-US" w:eastAsia="zh-CN"/>
        </w:rPr>
        <w:t>证券时报）</w:t>
      </w:r>
    </w:p>
    <w:p w14:paraId="22417B2E">
      <w:pPr>
        <w:spacing w:line="360" w:lineRule="auto"/>
        <w:jc w:val="left"/>
        <w:rPr>
          <w:rFonts w:hint="eastAsia" w:ascii="Times New Roman" w:hAnsi="Times New Roman" w:eastAsia="仿宋" w:cs="Times New Roman"/>
          <w:sz w:val="32"/>
          <w:szCs w:val="24"/>
          <w:highlight w:val="none"/>
          <w:lang w:val="en-US" w:eastAsia="zh-CN"/>
        </w:rPr>
      </w:pPr>
    </w:p>
    <w:p w14:paraId="4D130065">
      <w:pPr>
        <w:spacing w:line="360" w:lineRule="auto"/>
        <w:jc w:val="center"/>
        <w:rPr>
          <w:rFonts w:hint="eastAsia" w:ascii="Arial" w:hAnsi="Arial" w:eastAsia="黑体" w:cs="Times New Roman"/>
          <w:b/>
          <w:kern w:val="2"/>
          <w:sz w:val="32"/>
          <w:szCs w:val="24"/>
          <w:highlight w:val="none"/>
          <w:lang w:val="en-US" w:eastAsia="zh-CN" w:bidi="ar-SA"/>
        </w:rPr>
      </w:pPr>
      <w:r>
        <w:rPr>
          <w:rFonts w:hint="eastAsia" w:ascii="Arial" w:hAnsi="Arial" w:eastAsia="黑体" w:cs="Times New Roman"/>
          <w:b/>
          <w:kern w:val="2"/>
          <w:sz w:val="32"/>
          <w:szCs w:val="24"/>
          <w:highlight w:val="none"/>
          <w:lang w:val="en-US" w:eastAsia="zh-CN" w:bidi="ar-SA"/>
        </w:rPr>
        <w:t>宏和科技拟投约80亿元建设高性能电子材料产业园</w:t>
      </w:r>
    </w:p>
    <w:p w14:paraId="2A5E7CBA">
      <w:pPr>
        <w:spacing w:line="360" w:lineRule="auto"/>
        <w:ind w:firstLine="640" w:firstLineChars="200"/>
        <w:jc w:val="left"/>
        <w:rPr>
          <w:rFonts w:hint="eastAsia" w:ascii="Times New Roman" w:hAnsi="Times New Roman" w:eastAsia="仿宋" w:cs="Times New Roman"/>
          <w:sz w:val="32"/>
          <w:szCs w:val="24"/>
          <w:highlight w:val="none"/>
          <w:lang w:val="en-US" w:eastAsia="zh-CN"/>
        </w:rPr>
      </w:pPr>
      <w:r>
        <w:rPr>
          <w:rFonts w:hint="eastAsia" w:ascii="Times New Roman" w:hAnsi="Times New Roman" w:eastAsia="仿宋" w:cs="Times New Roman"/>
          <w:b w:val="0"/>
          <w:bCs w:val="0"/>
          <w:sz w:val="32"/>
          <w:szCs w:val="24"/>
          <w:highlight w:val="none"/>
          <w:lang w:val="en-US" w:eastAsia="zh-CN"/>
        </w:rPr>
        <w:t>3月27日，宏和科技公告，公司拟与黄石市经济技术开发区·铁山区人民政府签订《项目投资协议书》，通过公司全资子公司黄石宏和电子材料科技有限公司在黄石投资建设“高性能电子材料产业园项目”，项目总投资金额约人民币80亿元。</w:t>
      </w:r>
      <w:r>
        <w:rPr>
          <w:rFonts w:hint="eastAsia" w:ascii="Times New Roman" w:hAnsi="Times New Roman" w:eastAsia="仿宋" w:cs="Times New Roman"/>
          <w:sz w:val="32"/>
          <w:szCs w:val="24"/>
          <w:highlight w:val="none"/>
          <w:lang w:val="en-US" w:eastAsia="zh-CN"/>
        </w:rPr>
        <w:t>（WIND）</w:t>
      </w:r>
    </w:p>
    <w:p w14:paraId="452C8668">
      <w:pPr>
        <w:spacing w:line="360" w:lineRule="auto"/>
        <w:jc w:val="left"/>
        <w:rPr>
          <w:rFonts w:hint="eastAsia" w:ascii="Times New Roman" w:hAnsi="Times New Roman" w:eastAsia="仿宋" w:cs="Times New Roman"/>
          <w:sz w:val="32"/>
          <w:szCs w:val="24"/>
          <w:highlight w:val="none"/>
          <w:lang w:val="en-US" w:eastAsia="zh-CN"/>
        </w:rPr>
      </w:pPr>
    </w:p>
    <w:p w14:paraId="75F646C9">
      <w:pPr>
        <w:keepNext w:val="0"/>
        <w:keepLines w:val="0"/>
        <w:widowControl/>
        <w:suppressLineNumbers w:val="0"/>
        <w:spacing w:before="0" w:beforeAutospacing="1" w:after="0" w:afterAutospacing="1" w:line="360" w:lineRule="auto"/>
        <w:ind w:left="0" w:right="0"/>
        <w:jc w:val="left"/>
        <w:rPr>
          <w:rFonts w:hint="default" w:ascii="Times New Roman" w:hAnsi="Times New Roman" w:eastAsia="仿宋" w:cs="Times New Roman"/>
          <w:kern w:val="0"/>
          <w:sz w:val="24"/>
          <w:szCs w:val="24"/>
          <w:lang w:val="en-US" w:eastAsia="zh-CN" w:bidi="ar"/>
        </w:rPr>
      </w:pPr>
      <w:r>
        <w:rPr>
          <w:rFonts w:hint="default" w:ascii="Times New Roman" w:hAnsi="Times New Roman" w:eastAsia="仿宋" w:cs="Times New Roman"/>
          <w:kern w:val="0"/>
          <w:sz w:val="24"/>
          <w:szCs w:val="24"/>
          <w:lang w:val="en-US" w:eastAsia="zh-CN" w:bidi="ar"/>
        </w:rPr>
        <w:drawing>
          <wp:inline distT="0" distB="0" distL="114300" distR="114300">
            <wp:extent cx="5273675" cy="3503295"/>
            <wp:effectExtent l="0" t="0" r="9525" b="1905"/>
            <wp:docPr id="2" name="图片 2" descr="467b3544aa10c7b69a0d3f65ce8dd4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67b3544aa10c7b69a0d3f65ce8dd4d2"/>
                    <pic:cNvPicPr>
                      <a:picLocks noChangeAspect="1"/>
                    </pic:cNvPicPr>
                  </pic:nvPicPr>
                  <pic:blipFill>
                    <a:blip r:embed="rId5"/>
                    <a:stretch>
                      <a:fillRect/>
                    </a:stretch>
                  </pic:blipFill>
                  <pic:spPr>
                    <a:xfrm>
                      <a:off x="0" y="0"/>
                      <a:ext cx="5273675" cy="3503295"/>
                    </a:xfrm>
                    <a:prstGeom prst="rect">
                      <a:avLst/>
                    </a:prstGeom>
                  </pic:spPr>
                </pic:pic>
              </a:graphicData>
            </a:graphic>
          </wp:inline>
        </w:drawing>
      </w:r>
    </w:p>
    <w:p w14:paraId="5004A3C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70D08752">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2387C8E8">
      <w:pPr>
        <w:keepNext w:val="0"/>
        <w:keepLines w:val="0"/>
        <w:widowControl/>
        <w:suppressLineNumbers w:val="0"/>
        <w:spacing w:line="360" w:lineRule="auto"/>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044B3D61">
      <w:pPr>
        <w:widowControl w:val="0"/>
        <w:bidi w:val="0"/>
        <w:spacing w:line="240" w:lineRule="auto"/>
        <w:ind w:left="0" w:leftChars="0" w:firstLine="0" w:firstLineChars="0"/>
        <w:jc w:val="right"/>
        <w:rPr>
          <w:rFonts w:hint="default" w:ascii="Times New Roman" w:hAnsi="Times New Roman" w:eastAsia="仿宋" w:cs="Times New Roman"/>
          <w:sz w:val="32"/>
          <w:szCs w:val="24"/>
          <w:lang w:val="en-US" w:eastAsia="zh-CN"/>
        </w:rPr>
      </w:pPr>
      <w:r>
        <w:rPr>
          <w:rFonts w:ascii="Times New Roman" w:hAnsi="Times New Roman" w:eastAsia="仿宋" w:cs="Times New Roman"/>
          <w:sz w:val="32"/>
          <w:szCs w:val="24"/>
        </w:rP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6"/>
                    <a:stretch>
                      <a:fillRect/>
                    </a:stretch>
                  </pic:blipFill>
                  <pic:spPr>
                    <a:xfrm>
                      <a:off x="0" y="0"/>
                      <a:ext cx="1187450" cy="1168400"/>
                    </a:xfrm>
                    <a:prstGeom prst="rect">
                      <a:avLst/>
                    </a:prstGeom>
                    <a:noFill/>
                    <a:ln>
                      <a:noFill/>
                    </a:ln>
                  </pic:spPr>
                </pic:pic>
              </a:graphicData>
            </a:graphic>
          </wp:inline>
        </w:drawing>
      </w:r>
    </w:p>
    <w:p w14:paraId="077ACD8E"/>
    <w:sectPr>
      <w:headerReference r:id="rId3" w:type="default"/>
      <w:pgSz w:w="11906" w:h="16838"/>
      <w:pgMar w:top="156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0F4FE4">
    <w:pPr>
      <w:pStyle w:val="4"/>
      <w:pBdr>
        <w:bottom w:val="none" w:color="auto" w:sz="0" w:space="0"/>
      </w:pBdr>
      <w:jc w:val="both"/>
    </w:pPr>
    <w:r>
      <w:drawing>
        <wp:anchor distT="0" distB="0" distL="114300" distR="114300" simplePos="0" relativeHeight="251659264" behindDoc="1" locked="0" layoutInCell="1" allowOverlap="1">
          <wp:simplePos x="0" y="0"/>
          <wp:positionH relativeFrom="margin">
            <wp:align>center</wp:align>
          </wp:positionH>
          <wp:positionV relativeFrom="paragraph">
            <wp:posOffset>69215</wp:posOffset>
          </wp:positionV>
          <wp:extent cx="6782435" cy="513080"/>
          <wp:effectExtent l="0" t="0" r="0" b="1270"/>
          <wp:wrapTight wrapText="bothSides">
            <wp:wrapPolygon>
              <wp:start x="15713" y="0"/>
              <wp:lineTo x="0" y="0"/>
              <wp:lineTo x="0" y="18446"/>
              <wp:lineTo x="5703" y="20851"/>
              <wp:lineTo x="21477" y="20851"/>
              <wp:lineTo x="21477" y="17644"/>
              <wp:lineTo x="20203" y="13634"/>
              <wp:lineTo x="19232" y="12832"/>
              <wp:lineTo x="21355" y="8822"/>
              <wp:lineTo x="21477" y="4812"/>
              <wp:lineTo x="20809" y="0"/>
              <wp:lineTo x="15713" y="0"/>
            </wp:wrapPolygon>
          </wp:wrapTight>
          <wp:docPr id="1" name="图片 1" descr="C:\Users\Administrator\Desktop\未标题-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未标题-1.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782585" cy="5130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A87"/>
    <w:rsid w:val="00065C06"/>
    <w:rsid w:val="0035113B"/>
    <w:rsid w:val="003A66A4"/>
    <w:rsid w:val="004F2A87"/>
    <w:rsid w:val="006B3D1E"/>
    <w:rsid w:val="007065AE"/>
    <w:rsid w:val="0073199B"/>
    <w:rsid w:val="007456A0"/>
    <w:rsid w:val="008355BB"/>
    <w:rsid w:val="009014D3"/>
    <w:rsid w:val="00C372FC"/>
    <w:rsid w:val="00D65DCA"/>
    <w:rsid w:val="00E70812"/>
    <w:rsid w:val="00F70C01"/>
    <w:rsid w:val="00FF5190"/>
    <w:rsid w:val="02667CB3"/>
    <w:rsid w:val="06B47FC9"/>
    <w:rsid w:val="071C1AB9"/>
    <w:rsid w:val="0E73679E"/>
    <w:rsid w:val="0FAD6545"/>
    <w:rsid w:val="10CF4D8A"/>
    <w:rsid w:val="21A60DC4"/>
    <w:rsid w:val="225C17EC"/>
    <w:rsid w:val="25B55B0A"/>
    <w:rsid w:val="25EE16C9"/>
    <w:rsid w:val="264A2919"/>
    <w:rsid w:val="266175BF"/>
    <w:rsid w:val="28C049EA"/>
    <w:rsid w:val="29163431"/>
    <w:rsid w:val="2BF15CE7"/>
    <w:rsid w:val="2DC669A6"/>
    <w:rsid w:val="315179C6"/>
    <w:rsid w:val="38AD19AF"/>
    <w:rsid w:val="3A522D3D"/>
    <w:rsid w:val="3B265F2E"/>
    <w:rsid w:val="3EDF266A"/>
    <w:rsid w:val="3FDD3C4F"/>
    <w:rsid w:val="45F31C63"/>
    <w:rsid w:val="50EA418D"/>
    <w:rsid w:val="52793D86"/>
    <w:rsid w:val="53A662DF"/>
    <w:rsid w:val="596C1A28"/>
    <w:rsid w:val="59E7637A"/>
    <w:rsid w:val="61E21505"/>
    <w:rsid w:val="624D40D3"/>
    <w:rsid w:val="62E354DE"/>
    <w:rsid w:val="632528C9"/>
    <w:rsid w:val="64592EAE"/>
    <w:rsid w:val="65326415"/>
    <w:rsid w:val="65FB0E53"/>
    <w:rsid w:val="68D47E6F"/>
    <w:rsid w:val="6968585F"/>
    <w:rsid w:val="6BCE176C"/>
    <w:rsid w:val="6D8365BD"/>
    <w:rsid w:val="6E2A4350"/>
    <w:rsid w:val="6F0F1346"/>
    <w:rsid w:val="6F57027E"/>
    <w:rsid w:val="72DB7A02"/>
    <w:rsid w:val="72DE08AE"/>
    <w:rsid w:val="77B64349"/>
    <w:rsid w:val="78404F59"/>
    <w:rsid w:val="78D0113A"/>
    <w:rsid w:val="79120DC0"/>
    <w:rsid w:val="7C6C3669"/>
    <w:rsid w:val="7DC1685E"/>
    <w:rsid w:val="7E483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2420</Words>
  <Characters>2702</Characters>
  <Lines>0</Lines>
  <Paragraphs>0</Paragraphs>
  <TotalTime>1297</TotalTime>
  <ScaleCrop>false</ScaleCrop>
  <LinksUpToDate>false</LinksUpToDate>
  <CharactersWithSpaces>2753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2021-09-23T01:41:00Z</dcterms:created>
  <dc:creator>A</dc:creator>
  <cp:lastModifiedBy>朕已阅</cp:lastModifiedBy>
  <cp:lastPrinted>2021-09-23T03:57:00Z</cp:lastPrinted>
  <dcterms:modified xsi:type="dcterms:W3CDTF">2026-04-07T00:52:00Z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eyJoZGlkIjoiZWFlNjQ3NDIwZDEwN2RkZjI5ZmVhOGI2NjVlYTBkMTciLCJ1c2VySWQiOiIxMzgyMTM1ODU2In0=</vt:lpwstr>
  </property>
  <property fmtid="{D5CDD505-2E9C-101B-9397-08002B2CF9AE}" pid="3" name="KSOProductBuildVer">
    <vt:lpwstr>2052-12.1.0.25225</vt:lpwstr>
  </property>
  <property fmtid="{D5CDD505-2E9C-101B-9397-08002B2CF9AE}" pid="4" name="ICV">
    <vt:lpwstr>CEB96A0C938A401EA3D69BBB6460C44A_13</vt:lpwstr>
  </property>
</Properties>
</file>