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361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华文楷体" w:hAnsi="华文楷体" w:eastAsia="华文楷体" w:cs="华文楷体"/>
          <w:b/>
          <w:bCs/>
          <w:snapToGrid w:val="0"/>
          <w:color w:val="548235" w:themeColor="accent6" w:themeShade="BF"/>
          <w:kern w:val="0"/>
          <w:sz w:val="28"/>
          <w:szCs w:val="28"/>
          <w:lang w:val="en-US" w:eastAsia="zh-CN" w:bidi="ar"/>
        </w:rPr>
      </w:pPr>
    </w:p>
    <w:p w14:paraId="287E5B2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仿宋" w:cs="Times New Roman"/>
          <w:color w:val="04AC5C"/>
          <w:sz w:val="32"/>
          <w:szCs w:val="24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lang w:val="en-US" w:eastAsia="zh-CN" w:bidi="ar"/>
        </w:rPr>
        <w:t>第132期</w:t>
      </w:r>
    </w:p>
    <w:p w14:paraId="62D56D6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 w:hAnsi="Times New Roman" w:eastAsia="仿宋" w:cs="Times New Roman"/>
          <w:color w:val="04AC5C"/>
          <w:sz w:val="21"/>
          <w:szCs w:val="24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2026年4月</w:t>
      </w:r>
    </w:p>
    <w:p w14:paraId="59B0599D">
      <w:pPr>
        <w:keepNext/>
        <w:keepLines/>
        <w:widowControl w:val="0"/>
        <w:numPr>
          <w:ilvl w:val="0"/>
          <w:numId w:val="0"/>
        </w:numPr>
        <w:bidi w:val="0"/>
        <w:spacing w:before="260" w:beforeLines="0" w:beforeAutospacing="0" w:after="260" w:afterLines="0" w:afterAutospacing="0" w:line="413" w:lineRule="auto"/>
        <w:jc w:val="left"/>
        <w:outlineLvl w:val="1"/>
        <w:rPr>
          <w:rFonts w:hint="default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每周资讯|工业和信息化部称将保障产业链供应链稳定；2026年全球手机出货量锐减12.9%；胜宏科技正式在香港联交所主板挂牌上市.</w:t>
      </w:r>
    </w:p>
    <w:p w14:paraId="4E1614DA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行业</w:t>
      </w:r>
    </w:p>
    <w:p w14:paraId="75977C15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2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24"/>
          <w:lang w:val="en-US" w:eastAsia="zh-CN"/>
        </w:rPr>
        <w:t>工信部召开未来产业企业座谈会</w:t>
      </w:r>
    </w:p>
    <w:p w14:paraId="7ABB717D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21日，工业和信息化部党组书记、部长李乐成主持召开第十九次制造业企业座谈会。会上，来自生物制造、量子科技、显示材料、氢能、商业航天等行业领域的8家企业负责人作交流发言，介绍企业生产经营和行业发展情况，围绕提升未来产业技术创新、场景探索、商业实践能力等方面建言献策。会议要求，广大企业家要提高政治站位，坚定发展信心，立足自身优势，找准发展定位，深耕重点方向和前沿赛道，在发展未来产业过程中展现新作为、取得新成就。要强化创新引领，提升核心竞争力，聚焦关键技术、关键产品和关键环节，敢啃产业“硬骨头”、勇闯科技“无人区”，以创新突破塑造核心竞争力。要坚持产研融合，推动创新发展，强化产学研用协同合作，打通技术研发、中试孵化、产业应用全链条，加快创新成果产业化应用。（中国证券报）</w:t>
      </w:r>
    </w:p>
    <w:p w14:paraId="580A0AF9">
      <w:pPr>
        <w:spacing w:line="360" w:lineRule="auto"/>
        <w:jc w:val="left"/>
        <w:rPr>
          <w:rFonts w:hint="default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54FED2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上海发布国家数字经济创新发展试验区实施方案</w:t>
      </w:r>
    </w:p>
    <w:p w14:paraId="19DE262A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 4月21日，上海市公布的《国家数字经济创新发展试验区（上海）实施方案》明确提出，力争到2028年，数据要素价值全面激活，制度建设有效引领创新，实数融合进一步深化，试验区建设取得显著成效。据悉，上海是继广东、四川之后，第三个发布实施方案的国家数字经济创新发展试验区所在地。(新华社)</w:t>
      </w:r>
    </w:p>
    <w:p w14:paraId="7BC305D6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</w:p>
    <w:p w14:paraId="0EB309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数码和智能产品成消费品以旧换新热点，销售额已达1261.53亿元</w:t>
      </w:r>
    </w:p>
    <w:p w14:paraId="07841AAF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4月20日，根据商务部全国家电以旧换新、数码和智能产品购新信息系统数据，截至4月16日，数码和智能产品购新4243.3万件，同比增长31.7%；销售额1261.53亿元，同比增长36.4%。其中，手机销售占比超八成，呈现“中高端扩容、消费结构优化”态势。今年以来，手机等数码产品购新补贴提质扩容为数码和智能产品购新补贴，首次将智能眼镜纳入补贴范围，带动通讯器材类商品零售额保持较快增长。截至4月中旬，16个智能眼镜国产品牌参与购新补贴政策，带动重点企业销售量、销售额同比分别增长42.4%、46.8%。(新华网)</w:t>
      </w:r>
    </w:p>
    <w:p w14:paraId="156C9588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市场</w:t>
      </w:r>
    </w:p>
    <w:p w14:paraId="2C521472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我国智能算力规模达1882EFLOPS</w:t>
      </w:r>
    </w:p>
    <w:p w14:paraId="0A6CCC96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21日，工业和信息化部副部长张云明表示，算力基础设施已成为驱动人工智能发展的关键底座。截至3月底，我国智能算力规模达1882EFLOPS。张云明在当日举行的国新办新闻发布会上说，近期，工业和信息化部围绕普惠算力赋能中小企业、算电协同等重点工作持续发力，算力产业发展呈现良好态势。产业创新更强劲，深入实施算力强基“揭榜”行动，开展算电协同政策研究和标准制定，促进源网荷储、绿电直连加速落地；网络传输更顺畅，近两年围绕算力枢纽建成超70条算力大通道，落实城域“毫秒用算”专项行动等。(新华社)</w:t>
      </w:r>
    </w:p>
    <w:p w14:paraId="43A9EA19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604B155C">
      <w:pPr>
        <w:spacing w:line="240" w:lineRule="auto"/>
        <w:ind w:left="0" w:leftChars="0" w:firstLine="0" w:firstLineChars="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回应存储器价格上涨，工业和信息化部称将保障产业链供应链稳定</w:t>
      </w:r>
    </w:p>
    <w:p w14:paraId="3773793A">
      <w:pPr>
        <w:spacing w:line="240" w:lineRule="auto"/>
        <w:ind w:left="0" w:leftChars="0" w:firstLine="640" w:firstLineChars="200"/>
        <w:jc w:val="left"/>
        <w:rPr>
          <w:rFonts w:hint="default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21日，近期存储器价格上涨引发手机终端产品价格调整，受到各界广泛关注。针对这一问题，工业和信息化部将多措并举支持存储器产业发展，保障产业链供应链稳定。在4月21日举行的国新办新闻发布会上，工业和信息化部信息通信发展司司长谢存作出以上表述。谢存进一步说，一方面，将增强供给能力、促进供需对接，鼓励内外资企业加大投资力度，提升产出能力。支持终端企业与存储器企业加强互动对接，拓宽多元化供应渠道。另一方面，通过多种手段维护市场秩序，引导存储器企业加强渠道管理，配合相关部门依法打击“囤积居奇”等扰乱市场行为。（财联社）</w:t>
      </w:r>
    </w:p>
    <w:p w14:paraId="687CE414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25DBDAD7">
      <w:pPr>
        <w:spacing w:line="360" w:lineRule="auto"/>
        <w:ind w:firstLine="643" w:firstLineChars="20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2026年全球手机出货量锐减12.9%</w:t>
      </w:r>
    </w:p>
    <w:p w14:paraId="392183C8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20日，IDC预测，2026年全球智能手机出货量将同比下降13%，约减少1.6亿部至约11亿部，市场面临显著收缩压力。Q1数据已印证这一趋势——出货量同比下滑4.1%，低端机型受冲击最重。三星和苹果凭借高端产品线相对抗压，但整个产业链的需求前景趋于保守。（财联社）</w:t>
      </w:r>
    </w:p>
    <w:p w14:paraId="4D02DBEA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企业</w:t>
      </w:r>
    </w:p>
    <w:p w14:paraId="7BBFDE17">
      <w:pPr>
        <w:spacing w:line="360" w:lineRule="auto"/>
        <w:jc w:val="center"/>
        <w:rPr>
          <w:rFonts w:hint="default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谷歌推出TPU8t/8i，两款AI芯片分别面向训练和智能体推理</w:t>
      </w:r>
    </w:p>
    <w:p w14:paraId="03F2417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22日，谷歌云宣布推出第八代自研TPU（张量处理单元）芯片。在最新发布的两款芯片中，TPU8t专用于AI训练任务，TPU8i则用于运行AI推理任务，这两款芯片都将于今年晚些时候上市。同时，谷歌还展示了多项用于构建AI智能体的新工具，并宣布设立一支7.5亿美元的基金，以推动企业采用AI。（智通财经）</w:t>
      </w:r>
    </w:p>
    <w:p w14:paraId="62A5C3F7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3D7A82BE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SK海力士拟斥资130亿美元建厂</w:t>
      </w:r>
    </w:p>
    <w:p w14:paraId="4C8F5A4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22日，韩国存储芯片制造商SK海力士表示，计划投资19万亿韩元（约合128.5亿美元），在韩国本土建设一座新的先进封装制造工厂，以满足全球对人工智能存储器不断增长的需求。SK海力士在声明中写道，新的芯片制造厂将专门用于先进封装工艺，这一工艺对于制造诸如高带宽存储器（HBM）芯片等人工智能存储产品至关重要。该工厂将于本月开始动工建设。（财联社）</w:t>
      </w:r>
    </w:p>
    <w:p w14:paraId="68B21210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7CF2C053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光洋股份：拟2000万元投资雷鸟创新项目</w:t>
      </w:r>
    </w:p>
    <w:p w14:paraId="6117B37C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22日，光洋股份公告，公司与深圳鼎诚共创企业管理有限公司、深圳鸿途创新叁投资合伙企业签署协议，拟以现金2000万元认缴深圳鸿途创新叁投资合伙企业新增出资额，成为其有限合伙人，从而间接购买雷鸟创新技术有限公司新增注册资本。本次投资旨在整合资源优势，推动雷鸟创新业务发展及公司PCB业务协同效应的深化，提升公司综合竞争力。资金来源为公司自有或自筹资金，对本年度财务状况无重大影响。（证券之星）</w:t>
      </w:r>
    </w:p>
    <w:p w14:paraId="4B5FE090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0838DD01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鹏鼎控股淮安新园区开建，布局高端PCB核心产能抢抓AI产业机遇</w:t>
      </w:r>
    </w:p>
    <w:p w14:paraId="0C957718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4月22日，鹏鼎控股在江苏淮安隆重举办淮安科技城HD园区动工仪式，园区规划新建HDI/MSAP与HLC专业化生产厂房。项目建成投用后，淮安科技城四大园区合计厂房总量将增至23座，总占地面积达1893亩，全面强化集团高端PCB核心制造产能与前沿技术研发储备实力。鹏鼎控股董事长沈庆芳在现场表示，全域布局升级后的淮安科技城，将建成全球规模领先，工艺技术顶尖的一体化PCB智能制造生产基地。基地全面布局全品类高端PCB核心产品矩阵，涵盖柔性电路板、高阶HDI板、类载板，AI服务器高端多层核心板材等主流刚需品类，依托集团一体化运营体系，一站式满足全球全品类客户综合采购合作需求。（南方网）</w:t>
      </w:r>
    </w:p>
    <w:p w14:paraId="5F45228F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66BFAE56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东山精密200GEML实现量产出货</w:t>
      </w:r>
    </w:p>
    <w:p w14:paraId="278F941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24"/>
          <w:highlight w:val="none"/>
          <w:lang w:val="en-US" w:eastAsia="zh-CN"/>
        </w:rPr>
        <w:t>4月22日，光纤在线讯，东山精密依托子公司索尔思光电，布局以高速EML芯片为核心的光芯片产品体系，速率覆盖2.5G至200G全系列矩阵，采用IDM全流程自研与规模化量产模式，产品具备高带宽、低功耗、低传输损耗、高消光比、量产良率优异及宽温域高可靠性等突出优势。目前公司主力推出100G/200GPAM4EML高端芯片，关键性能指标与量产能力达到国际一流水平，可充分适配800G、1.6T及更高速率光模块应用。同时前瞻布局400GEML、高功率CW光源等技术，能够满足AI数据中心、超算高速互联等高端场景的严苛应用需求。（</w:t>
      </w: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光纤在线）</w:t>
      </w:r>
    </w:p>
    <w:p w14:paraId="22417B2E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4D130065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胜宏科技正式在香港联交所主板挂牌上市</w:t>
      </w:r>
    </w:p>
    <w:p w14:paraId="75F646C9"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24"/>
          <w:highlight w:val="none"/>
          <w:lang w:val="en-US" w:eastAsia="zh-CN"/>
        </w:rPr>
        <w:t>4月21日，全球AI算力PCB（印制电路板）龙头胜宏科技（惠州）股份有限公司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32"/>
          <w:szCs w:val="24"/>
          <w:highlight w:val="none"/>
          <w:lang w:val="en-US" w:eastAsia="zh-CN"/>
        </w:rPr>
        <w:t>正式在香港联交所主板挂牌上市，以201.17亿港元的募资总额，成为2026年以来香港市场规模最大的IPO项目。据招股书披露，胜宏科技此次H股发行由摩根大通、中信建投国际、广发证券担任联席保荐人，最终定价每股209.88港元（触及招股区间上限）。</w:t>
      </w: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（WIND）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3503295"/>
            <wp:effectExtent l="0" t="0" r="9525" b="1905"/>
            <wp:docPr id="2" name="图片 2" descr="467b3544aa10c7b69a0d3f65ce8dd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7b3544aa10c7b69a0d3f65ce8dd4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A3C8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更多精彩内容请扫描下方二维码，关注CPCA服务号</w:t>
      </w:r>
    </w:p>
    <w:p w14:paraId="70D08752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2387C8E8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044B3D61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24"/>
        </w:rP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CD8E"/>
    <w:sectPr>
      <w:headerReference r:id="rId3" w:type="default"/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4FE4">
    <w:pPr>
      <w:pStyle w:val="4"/>
      <w:pBdr>
        <w:bottom w:val="none" w:color="auto" w:sz="0" w:space="0"/>
      </w:pBdr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69215</wp:posOffset>
          </wp:positionV>
          <wp:extent cx="6782435" cy="513080"/>
          <wp:effectExtent l="0" t="0" r="0" b="1270"/>
          <wp:wrapTight wrapText="bothSides">
            <wp:wrapPolygon>
              <wp:start x="15713" y="0"/>
              <wp:lineTo x="0" y="0"/>
              <wp:lineTo x="0" y="18446"/>
              <wp:lineTo x="5703" y="20851"/>
              <wp:lineTo x="21477" y="20851"/>
              <wp:lineTo x="21477" y="17644"/>
              <wp:lineTo x="20203" y="13634"/>
              <wp:lineTo x="19232" y="12832"/>
              <wp:lineTo x="21355" y="8822"/>
              <wp:lineTo x="21477" y="4812"/>
              <wp:lineTo x="20809" y="0"/>
              <wp:lineTo x="15713" y="0"/>
            </wp:wrapPolygon>
          </wp:wrapTight>
          <wp:docPr id="1" name="图片 1" descr="C:\Users\Administrator\Desktop\未标题-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未标题-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25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87"/>
    <w:rsid w:val="00065C06"/>
    <w:rsid w:val="0035113B"/>
    <w:rsid w:val="003A66A4"/>
    <w:rsid w:val="004F2A87"/>
    <w:rsid w:val="006B3D1E"/>
    <w:rsid w:val="007065AE"/>
    <w:rsid w:val="0073199B"/>
    <w:rsid w:val="007456A0"/>
    <w:rsid w:val="008355BB"/>
    <w:rsid w:val="009014D3"/>
    <w:rsid w:val="00C372FC"/>
    <w:rsid w:val="00D65DCA"/>
    <w:rsid w:val="00E70812"/>
    <w:rsid w:val="00F70C01"/>
    <w:rsid w:val="00FF5190"/>
    <w:rsid w:val="06B47FC9"/>
    <w:rsid w:val="071C1AB9"/>
    <w:rsid w:val="07DD40F6"/>
    <w:rsid w:val="0E73679E"/>
    <w:rsid w:val="0FAD6545"/>
    <w:rsid w:val="10CF4D8A"/>
    <w:rsid w:val="1CDA2E0B"/>
    <w:rsid w:val="21A60DC4"/>
    <w:rsid w:val="225C17EC"/>
    <w:rsid w:val="25AF1BE4"/>
    <w:rsid w:val="25B55B0A"/>
    <w:rsid w:val="25EE16C9"/>
    <w:rsid w:val="264A2919"/>
    <w:rsid w:val="266175BF"/>
    <w:rsid w:val="28C049EA"/>
    <w:rsid w:val="29163431"/>
    <w:rsid w:val="2BF15CE7"/>
    <w:rsid w:val="2DC669A6"/>
    <w:rsid w:val="315179C6"/>
    <w:rsid w:val="33C137F8"/>
    <w:rsid w:val="38AD19AF"/>
    <w:rsid w:val="3A522D3D"/>
    <w:rsid w:val="3A6D2312"/>
    <w:rsid w:val="3B265F2E"/>
    <w:rsid w:val="3EDF266A"/>
    <w:rsid w:val="3FDD3C4F"/>
    <w:rsid w:val="45F31C63"/>
    <w:rsid w:val="4B543446"/>
    <w:rsid w:val="50EA418D"/>
    <w:rsid w:val="521E7BC5"/>
    <w:rsid w:val="52793D86"/>
    <w:rsid w:val="53A662DF"/>
    <w:rsid w:val="596C1A28"/>
    <w:rsid w:val="59E7637A"/>
    <w:rsid w:val="61E21505"/>
    <w:rsid w:val="624D40D3"/>
    <w:rsid w:val="62E354DE"/>
    <w:rsid w:val="632528C9"/>
    <w:rsid w:val="642D34F2"/>
    <w:rsid w:val="64592EAE"/>
    <w:rsid w:val="65326415"/>
    <w:rsid w:val="65FB0E53"/>
    <w:rsid w:val="68D47E6F"/>
    <w:rsid w:val="692244D0"/>
    <w:rsid w:val="6968585F"/>
    <w:rsid w:val="6BCE176C"/>
    <w:rsid w:val="6D8365BD"/>
    <w:rsid w:val="6E2A4350"/>
    <w:rsid w:val="6F0F1346"/>
    <w:rsid w:val="6F57027E"/>
    <w:rsid w:val="72DB7A02"/>
    <w:rsid w:val="72DE08AE"/>
    <w:rsid w:val="77B64349"/>
    <w:rsid w:val="78404F59"/>
    <w:rsid w:val="78D0113A"/>
    <w:rsid w:val="79120DC0"/>
    <w:rsid w:val="7C6C3669"/>
    <w:rsid w:val="7DC1685E"/>
    <w:rsid w:val="7E4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2428</Words>
  <Characters>2601</Characters>
  <Lines>0</Lines>
  <Paragraphs>0</Paragraphs>
  <TotalTime>2032</TotalTime>
  <ScaleCrop>false</ScaleCrop>
  <LinksUpToDate>false</LinksUpToDate>
  <CharactersWithSpaces>2649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2021-09-23T01:41:00Z</dcterms:created>
  <dc:creator>A</dc:creator>
  <cp:lastModifiedBy>朕已阅</cp:lastModifiedBy>
  <cp:lastPrinted>2021-09-23T03:57:00Z</cp:lastPrinted>
  <dcterms:modified xsi:type="dcterms:W3CDTF">2026-04-23T07:14:36Z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eyJoZGlkIjoiZWFlNjQ3NDIwZDEwN2RkZjI5ZmVhOGI2NjVlYTBkMTciLCJ1c2VySWQiOiIxMzgyMTM1ODU2In0=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4A3580FAA01C4CB796FDF0583C3D60B6_13</vt:lpwstr>
  </property>
</Properties>
</file>